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533508" w:rsidRDefault="00533508">
      <w:pPr>
        <w:pStyle w:val="Heading1"/>
        <w:tabs>
          <w:tab w:val="clear" w:pos="4680"/>
        </w:tabs>
        <w:rPr>
          <w:rFonts w:ascii="Times New Roman" w:hAnsi="Times New Roman"/>
          <w:sz w:val="36"/>
        </w:rPr>
      </w:pPr>
      <w:r>
        <w:rPr>
          <w:rFonts w:ascii="Times New Roman" w:hAnsi="Times New Roman"/>
          <w:sz w:val="36"/>
        </w:rPr>
        <w:t>COUNTY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AD3CE3" w:rsidRDefault="00AD3CE3">
      <w:pPr>
        <w:jc w:val="center"/>
        <w:rPr>
          <w:rFonts w:ascii="Times New Roman" w:hAnsi="Times New Roman"/>
          <w:b/>
          <w:bCs/>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rsidR="00AD3CE3" w:rsidRPr="00AD3CE3" w:rsidRDefault="00AD3CE3" w:rsidP="00AD3CE3">
      <w:pPr>
        <w:rPr>
          <w:rFonts w:ascii="Times New Roman" w:hAnsi="Times New Roman"/>
          <w:sz w:val="24"/>
          <w:szCs w:val="24"/>
        </w:rPr>
      </w:pPr>
    </w:p>
    <w:p w:rsidR="0012591B" w:rsidRPr="00AD3CE3" w:rsidRDefault="0012591B" w:rsidP="00AD3CE3">
      <w:pPr>
        <w:rPr>
          <w:rFonts w:ascii="Times New Roman" w:hAnsi="Times New Roman"/>
          <w:sz w:val="24"/>
          <w:szCs w:val="24"/>
        </w:rPr>
        <w:sectPr w:rsidR="0012591B" w:rsidRPr="00AD3CE3" w:rsidSect="0099169E">
          <w:headerReference w:type="even" r:id="rId7"/>
          <w:footerReference w:type="even" r:id="rId8"/>
          <w:footerReference w:type="default" r:id="rId9"/>
          <w:pgSz w:w="12240" w:h="15840"/>
          <w:pgMar w:top="720" w:right="720" w:bottom="720" w:left="720" w:header="720" w:footer="720" w:gutter="0"/>
          <w:pgNumType w:fmt="lowerRoman" w:start="4"/>
          <w:cols w:space="720"/>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BB04B0" w:rsidRDefault="0012591B">
      <w:pPr>
        <w:rPr>
          <w:rFonts w:ascii="Times New Roman" w:hAnsi="Times New Roman"/>
          <w:sz w:val="24"/>
          <w:szCs w:val="24"/>
        </w:rPr>
      </w:pPr>
      <w:r w:rsidRPr="00BB04B0">
        <w:rPr>
          <w:rFonts w:ascii="Times New Roman" w:hAnsi="Times New Roman"/>
          <w:sz w:val="24"/>
          <w:szCs w:val="24"/>
          <w:u w:val="single"/>
        </w:rPr>
        <w:t>Introduction</w:t>
      </w:r>
    </w:p>
    <w:p w:rsidR="0012591B" w:rsidRPr="00BB04B0" w:rsidRDefault="0012591B">
      <w:pPr>
        <w:rPr>
          <w:rFonts w:ascii="Times New Roman" w:hAnsi="Times New Roman"/>
          <w:sz w:val="24"/>
          <w:szCs w:val="24"/>
        </w:rPr>
      </w:pPr>
    </w:p>
    <w:p w:rsidR="0012591B" w:rsidRPr="00BB04B0" w:rsidRDefault="002A323A">
      <w:pPr>
        <w:jc w:val="both"/>
        <w:rPr>
          <w:rFonts w:ascii="Times New Roman" w:hAnsi="Times New Roman"/>
          <w:sz w:val="24"/>
          <w:szCs w:val="24"/>
        </w:rPr>
      </w:pPr>
      <w:r w:rsidRPr="00BB04B0">
        <w:rPr>
          <w:rFonts w:ascii="Times New Roman" w:hAnsi="Times New Roman"/>
          <w:sz w:val="24"/>
          <w:szCs w:val="24"/>
        </w:rPr>
        <w:t xml:space="preserve">Counties may deposit </w:t>
      </w:r>
      <w:r w:rsidR="0012591B" w:rsidRPr="00BB04B0">
        <w:rPr>
          <w:rFonts w:ascii="Times New Roman" w:hAnsi="Times New Roman"/>
          <w:sz w:val="24"/>
          <w:szCs w:val="24"/>
        </w:rPr>
        <w:t xml:space="preserve">funds only in financial institutions designated by </w:t>
      </w:r>
      <w:r w:rsidRPr="00BB04B0">
        <w:rPr>
          <w:rFonts w:ascii="Times New Roman" w:hAnsi="Times New Roman"/>
          <w:sz w:val="24"/>
          <w:szCs w:val="24"/>
        </w:rPr>
        <w:t>the county board</w:t>
      </w:r>
      <w:r w:rsidR="0012591B" w:rsidRPr="00BB04B0">
        <w:rPr>
          <w:rFonts w:ascii="Times New Roman" w:hAnsi="Times New Roman"/>
          <w:sz w:val="24"/>
          <w:szCs w:val="24"/>
        </w:rPr>
        <w:t xml:space="preserve">.  The </w:t>
      </w:r>
      <w:r w:rsidRPr="00BB04B0">
        <w:rPr>
          <w:rFonts w:ascii="Times New Roman" w:hAnsi="Times New Roman"/>
          <w:sz w:val="24"/>
          <w:szCs w:val="24"/>
        </w:rPr>
        <w:t>board may</w:t>
      </w:r>
      <w:r w:rsidR="0012591B" w:rsidRPr="00BB04B0">
        <w:rPr>
          <w:rFonts w:ascii="Times New Roman" w:hAnsi="Times New Roman"/>
          <w:sz w:val="24"/>
          <w:szCs w:val="24"/>
        </w:rPr>
        <w:t xml:space="preserve"> authorize </w:t>
      </w:r>
      <w:r w:rsidRPr="00BB04B0">
        <w:rPr>
          <w:rFonts w:ascii="Times New Roman" w:hAnsi="Times New Roman"/>
          <w:sz w:val="24"/>
          <w:szCs w:val="24"/>
        </w:rPr>
        <w:t>the county</w:t>
      </w:r>
      <w:r w:rsidR="0012591B" w:rsidRPr="00BB04B0">
        <w:rPr>
          <w:rFonts w:ascii="Times New Roman" w:hAnsi="Times New Roman"/>
          <w:sz w:val="24"/>
          <w:szCs w:val="24"/>
        </w:rPr>
        <w:t xml:space="preserve"> treasurer or chief financial officer to make such designations.  </w:t>
      </w:r>
      <w:r w:rsidRPr="00BB04B0">
        <w:rPr>
          <w:rFonts w:ascii="Times New Roman" w:hAnsi="Times New Roman"/>
          <w:sz w:val="24"/>
          <w:szCs w:val="24"/>
        </w:rPr>
        <w:t>All county funds on deposit must be protected by federal deposit insurance, corporate surety bond</w:t>
      </w:r>
      <w:r w:rsidR="00BB04B0">
        <w:rPr>
          <w:rFonts w:ascii="Times New Roman" w:hAnsi="Times New Roman"/>
          <w:sz w:val="24"/>
          <w:szCs w:val="24"/>
        </w:rPr>
        <w:t>,</w:t>
      </w:r>
      <w:r w:rsidRPr="00BB04B0">
        <w:rPr>
          <w:rFonts w:ascii="Times New Roman" w:hAnsi="Times New Roman"/>
          <w:sz w:val="24"/>
          <w:szCs w:val="24"/>
        </w:rPr>
        <w:t xml:space="preserve"> or assigned collateral.</w:t>
      </w:r>
    </w:p>
    <w:p w:rsidR="0012591B" w:rsidRPr="00BB04B0" w:rsidRDefault="0012591B">
      <w:pPr>
        <w:jc w:val="both"/>
        <w:rPr>
          <w:rFonts w:ascii="Times New Roman" w:hAnsi="Times New Roman"/>
          <w:sz w:val="24"/>
          <w:szCs w:val="24"/>
        </w:rPr>
      </w:pPr>
    </w:p>
    <w:p w:rsidR="00F62D1C" w:rsidRDefault="0012591B" w:rsidP="0081590E">
      <w:pPr>
        <w:jc w:val="both"/>
        <w:rPr>
          <w:rFonts w:ascii="Times New Roman" w:hAnsi="Times New Roman"/>
          <w:sz w:val="24"/>
          <w:szCs w:val="24"/>
        </w:rPr>
      </w:pPr>
      <w:r w:rsidRPr="00BB04B0">
        <w:rPr>
          <w:rFonts w:ascii="Times New Roman" w:hAnsi="Times New Roman"/>
          <w:sz w:val="24"/>
          <w:szCs w:val="24"/>
        </w:rPr>
        <w:t xml:space="preserve">“Government entity” for the purpose of this section </w:t>
      </w:r>
      <w:r w:rsidR="00AE452A" w:rsidRPr="00BB04B0">
        <w:rPr>
          <w:rFonts w:ascii="Times New Roman" w:hAnsi="Times New Roman"/>
          <w:sz w:val="24"/>
          <w:szCs w:val="24"/>
        </w:rPr>
        <w:t>include</w:t>
      </w:r>
      <w:r w:rsidR="0081590E">
        <w:rPr>
          <w:rFonts w:ascii="Times New Roman" w:hAnsi="Times New Roman"/>
          <w:sz w:val="24"/>
          <w:szCs w:val="24"/>
        </w:rPr>
        <w:t>s</w:t>
      </w:r>
      <w:r w:rsidR="00AE452A" w:rsidRPr="00BB04B0">
        <w:rPr>
          <w:rFonts w:ascii="Times New Roman" w:hAnsi="Times New Roman"/>
          <w:sz w:val="24"/>
          <w:szCs w:val="24"/>
        </w:rPr>
        <w:t xml:space="preserve"> </w:t>
      </w:r>
      <w:r w:rsidR="00BB04B0">
        <w:rPr>
          <w:rFonts w:ascii="Times New Roman" w:hAnsi="Times New Roman"/>
          <w:sz w:val="24"/>
          <w:szCs w:val="24"/>
        </w:rPr>
        <w:t>c</w:t>
      </w:r>
      <w:r w:rsidR="00391288" w:rsidRPr="00BB04B0">
        <w:rPr>
          <w:rFonts w:ascii="Times New Roman" w:hAnsi="Times New Roman"/>
          <w:sz w:val="24"/>
          <w:szCs w:val="24"/>
        </w:rPr>
        <w:t>ounties</w:t>
      </w:r>
      <w:r w:rsidR="0081590E">
        <w:rPr>
          <w:rFonts w:ascii="Times New Roman" w:hAnsi="Times New Roman"/>
          <w:sz w:val="24"/>
          <w:szCs w:val="24"/>
        </w:rPr>
        <w:t xml:space="preserve">.  </w:t>
      </w:r>
      <w:r w:rsidRPr="00BB04B0">
        <w:rPr>
          <w:rFonts w:ascii="Times New Roman" w:hAnsi="Times New Roman"/>
          <w:sz w:val="24"/>
          <w:szCs w:val="24"/>
        </w:rPr>
        <w:t>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 subd. 2.</w:t>
      </w:r>
    </w:p>
    <w:p w:rsidR="00F62D1C" w:rsidRDefault="00F62D1C" w:rsidP="0081590E">
      <w:pPr>
        <w:jc w:val="both"/>
        <w:rPr>
          <w:rFonts w:ascii="Times New Roman" w:hAnsi="Times New Roman"/>
          <w:sz w:val="24"/>
          <w:szCs w:val="24"/>
        </w:rPr>
      </w:pPr>
    </w:p>
    <w:p w:rsidR="0012591B" w:rsidRPr="00BB04B0" w:rsidRDefault="00DF1F63" w:rsidP="0081590E">
      <w:pPr>
        <w:jc w:val="both"/>
        <w:rPr>
          <w:rFonts w:ascii="Times New Roman" w:hAnsi="Times New Roman"/>
          <w:sz w:val="24"/>
          <w:szCs w:val="24"/>
        </w:rPr>
      </w:pPr>
      <w:r w:rsidRPr="00BB04B0">
        <w:rPr>
          <w:rFonts w:ascii="Times New Roman" w:hAnsi="Times New Roman"/>
          <w:sz w:val="24"/>
          <w:szCs w:val="24"/>
        </w:rPr>
        <w:t>This section does not apply to entities whose investment authority is specified under Minn. Stat. ch. 11A</w:t>
      </w:r>
      <w:r w:rsidR="0043129A">
        <w:rPr>
          <w:rFonts w:ascii="Times New Roman" w:hAnsi="Times New Roman"/>
          <w:sz w:val="24"/>
          <w:szCs w:val="24"/>
        </w:rPr>
        <w:fldChar w:fldCharType="begin"/>
      </w:r>
      <w:r w:rsidR="0043129A">
        <w:instrText xml:space="preserve"> XE "</w:instrText>
      </w:r>
      <w:r w:rsidR="0043129A" w:rsidRPr="00AD1AE4">
        <w:rPr>
          <w:rFonts w:ascii="Times New Roman" w:hAnsi="Times New Roman"/>
          <w:sz w:val="24"/>
          <w:szCs w:val="24"/>
        </w:rPr>
        <w:instrText>11A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(Investment of State and Pension Assets),</w:t>
      </w:r>
      <w:r w:rsidRPr="00BB04B0">
        <w:rPr>
          <w:rFonts w:ascii="Times New Roman" w:hAnsi="Times New Roman"/>
          <w:sz w:val="24"/>
          <w:szCs w:val="24"/>
        </w:rPr>
        <w:t xml:space="preserve"> or </w:t>
      </w:r>
      <w:r w:rsidR="0052190D" w:rsidRPr="00BB04B0">
        <w:rPr>
          <w:rFonts w:ascii="Times New Roman" w:hAnsi="Times New Roman"/>
          <w:sz w:val="24"/>
          <w:szCs w:val="24"/>
        </w:rPr>
        <w:t>3</w:t>
      </w:r>
      <w:r w:rsidRPr="00BB04B0">
        <w:rPr>
          <w:rFonts w:ascii="Times New Roman" w:hAnsi="Times New Roman"/>
          <w:sz w:val="24"/>
          <w:szCs w:val="24"/>
        </w:rPr>
        <w:t>56A</w:t>
      </w:r>
      <w:r w:rsidR="0043129A">
        <w:rPr>
          <w:rFonts w:ascii="Times New Roman" w:hAnsi="Times New Roman"/>
          <w:sz w:val="24"/>
          <w:szCs w:val="24"/>
        </w:rPr>
        <w:fldChar w:fldCharType="begin"/>
      </w:r>
      <w:r w:rsidR="0043129A">
        <w:instrText xml:space="preserve"> XE "</w:instrText>
      </w:r>
      <w:r w:rsidR="0043129A" w:rsidRPr="00107FBB">
        <w:rPr>
          <w:rFonts w:ascii="Times New Roman" w:hAnsi="Times New Roman"/>
          <w:sz w:val="24"/>
          <w:szCs w:val="24"/>
        </w:rPr>
        <w:instrText>356A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(Public Pension Fiduciary Responsibility)</w:t>
      </w:r>
      <w:r w:rsidRPr="00BB04B0">
        <w:rPr>
          <w:rFonts w:ascii="Times New Roman" w:hAnsi="Times New Roman"/>
          <w:sz w:val="24"/>
          <w:szCs w:val="24"/>
        </w:rPr>
        <w:t xml:space="preserve">. </w:t>
      </w:r>
      <w:r w:rsidR="00BB04B0">
        <w:rPr>
          <w:rFonts w:ascii="Times New Roman" w:hAnsi="Times New Roman"/>
          <w:sz w:val="24"/>
          <w:szCs w:val="24"/>
        </w:rPr>
        <w:t xml:space="preserve"> </w:t>
      </w:r>
      <w:r w:rsidRPr="00BB04B0">
        <w:rPr>
          <w:rFonts w:ascii="Times New Roman" w:hAnsi="Times New Roman"/>
          <w:i/>
          <w:sz w:val="24"/>
          <w:szCs w:val="24"/>
        </w:rPr>
        <w:t>Id.</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“Public funds” for the purpose of this section means all general, special, permanent, trust, or other funds, regardless of source or purpose, held or administered by a government entity, unless otherwise restricted</w:t>
      </w:r>
      <w:r w:rsidR="004D006F" w:rsidRPr="00BB04B0">
        <w:rPr>
          <w:rFonts w:ascii="Times New Roman" w:hAnsi="Times New Roman"/>
          <w:sz w:val="24"/>
          <w:szCs w:val="24"/>
        </w:rPr>
        <w:t>.  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004D006F" w:rsidRPr="00BB04B0">
        <w:rPr>
          <w:rFonts w:ascii="Times New Roman" w:hAnsi="Times New Roman"/>
          <w:sz w:val="24"/>
          <w:szCs w:val="24"/>
        </w:rPr>
        <w:t>, subd.</w:t>
      </w:r>
      <w:r w:rsidR="00BB04B0">
        <w:rPr>
          <w:rFonts w:ascii="Times New Roman" w:hAnsi="Times New Roman"/>
          <w:sz w:val="24"/>
          <w:szCs w:val="24"/>
        </w:rPr>
        <w:t xml:space="preserve"> </w:t>
      </w:r>
      <w:r w:rsidRPr="00BB04B0">
        <w:rPr>
          <w:rFonts w:ascii="Times New Roman" w:hAnsi="Times New Roman"/>
          <w:sz w:val="24"/>
          <w:szCs w:val="24"/>
        </w:rPr>
        <w:t>4.</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 xml:space="preserve">When auditing a </w:t>
      </w:r>
      <w:r w:rsidR="00BB04B0">
        <w:rPr>
          <w:rFonts w:ascii="Times New Roman" w:hAnsi="Times New Roman"/>
          <w:sz w:val="24"/>
          <w:szCs w:val="24"/>
        </w:rPr>
        <w:t>c</w:t>
      </w:r>
      <w:r w:rsidR="00391288" w:rsidRPr="00BB04B0">
        <w:rPr>
          <w:rFonts w:ascii="Times New Roman" w:hAnsi="Times New Roman"/>
          <w:sz w:val="24"/>
          <w:szCs w:val="24"/>
        </w:rPr>
        <w:t>ounty</w:t>
      </w:r>
      <w:r w:rsidRPr="00BB04B0">
        <w:rPr>
          <w:rFonts w:ascii="Times New Roman" w:hAnsi="Times New Roman"/>
          <w:sz w:val="24"/>
          <w:szCs w:val="24"/>
        </w:rPr>
        <w:t>,</w:t>
      </w:r>
      <w:r w:rsidR="0012591B" w:rsidRPr="00BB04B0">
        <w:rPr>
          <w:rFonts w:ascii="Times New Roman" w:hAnsi="Times New Roman"/>
          <w:sz w:val="24"/>
          <w:szCs w:val="24"/>
        </w:rPr>
        <w:t xml:space="preserve"> complete this section to determine if the </w:t>
      </w:r>
      <w:r w:rsidR="00BB04B0">
        <w:rPr>
          <w:rFonts w:ascii="Times New Roman" w:hAnsi="Times New Roman"/>
          <w:sz w:val="24"/>
          <w:szCs w:val="24"/>
        </w:rPr>
        <w:t>c</w:t>
      </w:r>
      <w:r w:rsidR="00391288" w:rsidRPr="00BB04B0">
        <w:rPr>
          <w:rFonts w:ascii="Times New Roman" w:hAnsi="Times New Roman"/>
          <w:sz w:val="24"/>
          <w:szCs w:val="24"/>
        </w:rPr>
        <w:t>ounty</w:t>
      </w:r>
      <w:r w:rsidR="0012591B" w:rsidRPr="00BB04B0">
        <w:rPr>
          <w:rFonts w:ascii="Times New Roman" w:hAnsi="Times New Roman"/>
          <w:sz w:val="24"/>
          <w:szCs w:val="24"/>
        </w:rPr>
        <w:t xml:space="preserve"> has properly invested its funds or deposited its funds in a properly designated depository with appropriate collateral or bond. </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4E2E79" w:rsidRPr="00BB04B0"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b/>
          <w:sz w:val="24"/>
          <w:szCs w:val="24"/>
        </w:rPr>
        <w:t xml:space="preserve">OPEB Trusts </w:t>
      </w:r>
      <w:r w:rsidR="00AD4095" w:rsidRPr="00BB04B0">
        <w:rPr>
          <w:rFonts w:ascii="Times New Roman" w:hAnsi="Times New Roman"/>
          <w:sz w:val="24"/>
          <w:szCs w:val="24"/>
        </w:rPr>
        <w:t>-</w:t>
      </w:r>
      <w:r w:rsidRPr="00BB04B0">
        <w:rPr>
          <w:rFonts w:ascii="Times New Roman" w:hAnsi="Times New Roman"/>
          <w:sz w:val="24"/>
          <w:szCs w:val="24"/>
        </w:rPr>
        <w:t xml:space="preserve"> The assets of a trust created to pay postemployment benefits (gi</w:t>
      </w:r>
      <w:r w:rsidR="006F7FDC" w:rsidRPr="00BB04B0">
        <w:rPr>
          <w:rFonts w:ascii="Times New Roman" w:hAnsi="Times New Roman"/>
          <w:sz w:val="24"/>
          <w:szCs w:val="24"/>
        </w:rPr>
        <w:t>ving rise to a liability under G</w:t>
      </w:r>
      <w:r w:rsidRPr="00BB04B0">
        <w:rPr>
          <w:rFonts w:ascii="Times New Roman" w:hAnsi="Times New Roman"/>
          <w:sz w:val="24"/>
          <w:szCs w:val="24"/>
        </w:rPr>
        <w:t>ASB St</w:t>
      </w:r>
      <w:r w:rsidR="004D006F" w:rsidRPr="00BB04B0">
        <w:rPr>
          <w:rFonts w:ascii="Times New Roman" w:hAnsi="Times New Roman"/>
          <w:sz w:val="24"/>
          <w:szCs w:val="24"/>
        </w:rPr>
        <w:t xml:space="preserve">atement </w:t>
      </w:r>
      <w:r w:rsidRPr="00BB04B0">
        <w:rPr>
          <w:rFonts w:ascii="Times New Roman" w:hAnsi="Times New Roman"/>
          <w:sz w:val="24"/>
          <w:szCs w:val="24"/>
        </w:rPr>
        <w:t>45) to employees or officers after their termination of service shall be invested and he</w:t>
      </w:r>
      <w:r w:rsidR="004D006F" w:rsidRPr="00BB04B0">
        <w:rPr>
          <w:rFonts w:ascii="Times New Roman" w:hAnsi="Times New Roman"/>
          <w:sz w:val="24"/>
          <w:szCs w:val="24"/>
        </w:rPr>
        <w:t>ld as provided in Minn. Stat. §</w:t>
      </w:r>
      <w:r w:rsidR="00BB04B0">
        <w:rPr>
          <w:rFonts w:ascii="Times New Roman" w:hAnsi="Times New Roman"/>
          <w:sz w:val="24"/>
          <w:szCs w:val="24"/>
        </w:rPr>
        <w:t xml:space="preserve"> </w:t>
      </w:r>
      <w:r w:rsidRPr="00BB04B0">
        <w:rPr>
          <w:rFonts w:ascii="Times New Roman" w:hAnsi="Times New Roman"/>
          <w:sz w:val="24"/>
          <w:szCs w:val="24"/>
        </w:rPr>
        <w:t>471.6175</w:t>
      </w:r>
      <w:r w:rsidR="0043129A">
        <w:rPr>
          <w:rFonts w:ascii="Times New Roman" w:hAnsi="Times New Roman"/>
          <w:sz w:val="24"/>
          <w:szCs w:val="24"/>
        </w:rPr>
        <w:fldChar w:fldCharType="begin"/>
      </w:r>
      <w:r w:rsidR="0043129A">
        <w:instrText xml:space="preserve"> XE "</w:instrText>
      </w:r>
      <w:r w:rsidR="0043129A" w:rsidRPr="00E57437">
        <w:rPr>
          <w:rFonts w:ascii="Times New Roman" w:hAnsi="Times New Roman"/>
          <w:sz w:val="24"/>
          <w:szCs w:val="24"/>
        </w:rPr>
        <w:instrText>471.6175</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w:t>
      </w: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43129A">
              <w:rPr>
                <w:rFonts w:ascii="Times New Roman" w:hAnsi="Times New Roman"/>
              </w:rPr>
              <w:fldChar w:fldCharType="begin"/>
            </w:r>
            <w:r w:rsidR="0043129A">
              <w:instrText xml:space="preserve"> XE "</w:instrText>
            </w:r>
            <w:r w:rsidR="0043129A" w:rsidRPr="00637540">
              <w:rPr>
                <w:rFonts w:ascii="Times New Roman" w:hAnsi="Times New Roman"/>
              </w:rPr>
              <w:instrText>118A.02</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43129A">
              <w:rPr>
                <w:rFonts w:ascii="Times New Roman" w:hAnsi="Times New Roman"/>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93" w:type="dxa"/>
          <w:cantSplit/>
          <w:trHeight w:val="195"/>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tcBorders>
          </w:tcPr>
          <w:p w:rsidR="00622A35" w:rsidRPr="00622A35" w:rsidRDefault="00622A35">
            <w:pPr>
              <w:pStyle w:val="Header"/>
              <w:jc w:val="center"/>
              <w:rPr>
                <w:rFonts w:ascii="Times New Roman" w:hAnsi="Times New Roman"/>
                <w:b/>
                <w:bCs/>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tcBorders>
          </w:tcPr>
          <w:p w:rsidR="00622A35" w:rsidRPr="00622A35" w:rsidRDefault="00622A35">
            <w:pPr>
              <w:pStyle w:val="Header"/>
              <w:rPr>
                <w:rFonts w:ascii="Times New Roman" w:hAnsi="Times New Roman"/>
              </w:rPr>
            </w:pPr>
          </w:p>
        </w:tc>
        <w:tc>
          <w:tcPr>
            <w:tcW w:w="1026"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bookmarkStart w:id="1" w:name="_GoBack"/>
      <w:bookmarkEnd w:id="1"/>
    </w:p>
    <w:p w:rsidR="00AD3CE3" w:rsidRDefault="00AD3CE3"/>
    <w:p w:rsidR="00AD3CE3" w:rsidRDefault="00AD3CE3"/>
    <w:p w:rsidR="00AD3CE3" w:rsidRDefault="00AD3CE3"/>
    <w:p w:rsidR="00AD3CE3" w:rsidRDefault="00AD3CE3"/>
    <w:p w:rsidR="00AD3CE3" w:rsidRDefault="00AD3CE3"/>
    <w:p w:rsidR="007279EE" w:rsidRDefault="007279EE">
      <w:pPr>
        <w:rPr>
          <w:sz w:val="12"/>
          <w:szCs w:val="12"/>
        </w:rPr>
      </w:pPr>
      <w:r>
        <w:rPr>
          <w:sz w:val="12"/>
          <w:szCs w:val="12"/>
        </w:rPr>
        <w:br w:type="page"/>
      </w:r>
    </w:p>
    <w:tbl>
      <w:tblPr>
        <w:tblW w:w="10795" w:type="dxa"/>
        <w:tblLayout w:type="fixed"/>
        <w:tblLook w:val="0000" w:firstRow="0" w:lastRow="0" w:firstColumn="0" w:lastColumn="0" w:noHBand="0" w:noVBand="0"/>
      </w:tblPr>
      <w:tblGrid>
        <w:gridCol w:w="1297"/>
        <w:gridCol w:w="491"/>
        <w:gridCol w:w="646"/>
        <w:gridCol w:w="6201"/>
        <w:gridCol w:w="540"/>
        <w:gridCol w:w="540"/>
        <w:gridCol w:w="1080"/>
      </w:tblGrid>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47" w:type="dxa"/>
            <w:gridSpan w:val="2"/>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Deposits are insured only if the depository is a member of </w:t>
            </w:r>
            <w:r w:rsidR="0081590E">
              <w:rPr>
                <w:rFonts w:ascii="Times New Roman" w:hAnsi="Times New Roman"/>
              </w:rPr>
              <w:t>Federal Deposit Insurance Corporation (</w:t>
            </w:r>
            <w:r w:rsidRPr="00622A35">
              <w:rPr>
                <w:rFonts w:ascii="Times New Roman" w:hAnsi="Times New Roman"/>
              </w:rPr>
              <w:t>FDIC</w:t>
            </w:r>
            <w:r w:rsidR="0081590E">
              <w:rPr>
                <w:rFonts w:ascii="Times New Roman" w:hAnsi="Times New Roman"/>
              </w:rPr>
              <w: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3.</w:t>
            </w:r>
          </w:p>
        </w:tc>
        <w:tc>
          <w:tcPr>
            <w:tcW w:w="6201" w:type="dxa"/>
            <w:tcBorders>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4.</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5.</w:t>
            </w:r>
          </w:p>
        </w:tc>
        <w:tc>
          <w:tcPr>
            <w:tcW w:w="6201" w:type="dxa"/>
            <w:tcBorders>
              <w:right w:val="single" w:sz="4" w:space="0" w:color="auto"/>
            </w:tcBorders>
          </w:tcPr>
          <w:p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6.</w:t>
            </w:r>
          </w:p>
        </w:tc>
        <w:tc>
          <w:tcPr>
            <w:tcW w:w="6201" w:type="dxa"/>
            <w:tcBorders>
              <w:right w:val="single" w:sz="4" w:space="0" w:color="auto"/>
            </w:tcBorders>
          </w:tcPr>
          <w:p w:rsid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BB04B0" w:rsidRPr="00622A35" w:rsidRDefault="00BB04B0" w:rsidP="001C3C52">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201" w:type="dxa"/>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1590E" w:rsidRDefault="0081590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622A35" w:rsidRPr="00622A35" w:rsidTr="0081590E">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p w:rsidR="00BB04B0" w:rsidRPr="00622A35" w:rsidRDefault="00BB04B0" w:rsidP="0039128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2</w:t>
            </w:r>
          </w:p>
          <w:p w:rsidR="00BB04B0" w:rsidRPr="00622A35" w:rsidRDefault="00BB04B0">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6367"/>
        <w:gridCol w:w="540"/>
        <w:gridCol w:w="553"/>
        <w:gridCol w:w="1067"/>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rsidP="001525E6">
            <w:pPr>
              <w:pStyle w:val="Header"/>
              <w:ind w:right="-183"/>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43129A">
              <w:rPr>
                <w:rFonts w:ascii="Times New Roman" w:hAnsi="Times New Roman"/>
              </w:rPr>
              <w:fldChar w:fldCharType="begin"/>
            </w:r>
            <w:r w:rsidR="0043129A">
              <w:instrText xml:space="preserve"> XE "</w:instrText>
            </w:r>
            <w:r w:rsidR="0043129A" w:rsidRPr="00CE5143">
              <w:rPr>
                <w:rFonts w:ascii="Times New Roman" w:hAnsi="Times New Roman"/>
              </w:rPr>
              <w:instrText>12 U.S.C.</w:instrText>
            </w:r>
            <w:r w:rsidR="0043129A">
              <w:instrText xml:space="preserve">" </w:instrText>
            </w:r>
            <w:r w:rsidR="0043129A">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r w:rsidR="0043129A">
              <w:rPr>
                <w:rFonts w:ascii="Times New Roman" w:hAnsi="Times New Roman"/>
              </w:rPr>
              <w:fldChar w:fldCharType="begin"/>
            </w:r>
            <w:r w:rsidR="0043129A">
              <w:instrText xml:space="preserve"> XE "</w:instrText>
            </w:r>
            <w:r w:rsidR="0043129A" w:rsidRPr="0098483F">
              <w:rPr>
                <w:rFonts w:ascii="Times New Roman" w:hAnsi="Times New Roman"/>
              </w:rPr>
              <w:instrText>1823(e)</w:instrText>
            </w:r>
            <w:r w:rsidR="0043129A">
              <w:instrText xml:space="preserve">" </w:instrText>
            </w:r>
            <w:r w:rsidR="0043129A">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5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D67403" w:rsidRPr="0081590E" w:rsidRDefault="00D67403">
      <w:pPr>
        <w:rPr>
          <w:rFonts w:ascii="Times New Roman" w:hAnsi="Times New Roman"/>
        </w:rPr>
      </w:pP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43129A">
              <w:rPr>
                <w:rFonts w:ascii="Times New Roman" w:hAnsi="Times New Roman"/>
              </w:rPr>
              <w:fldChar w:fldCharType="begin"/>
            </w:r>
            <w:r w:rsidR="0043129A">
              <w:instrText xml:space="preserve"> XE "</w:instrText>
            </w:r>
            <w:r w:rsidR="0043129A" w:rsidRPr="00986A09">
              <w:rPr>
                <w:rFonts w:ascii="Times New Roman" w:hAnsi="Times New Roman"/>
              </w:rPr>
              <w:instrText>118A.06</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AD3CE3" w:rsidRDefault="00AD3CE3"/>
    <w:p w:rsidR="00C6642C" w:rsidRDefault="00C6642C">
      <w:pPr>
        <w:rPr>
          <w:sz w:val="8"/>
          <w:szCs w:val="8"/>
        </w:rPr>
      </w:pPr>
      <w:r>
        <w:rPr>
          <w:sz w:val="8"/>
          <w:szCs w:val="8"/>
        </w:rP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8" w:type="dxa"/>
            <w:gridSpan w:val="2"/>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rsidR="00C6642C" w:rsidRPr="00622A35" w:rsidRDefault="00C6642C"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 subd. 5</w:t>
            </w:r>
          </w:p>
          <w:p w:rsidR="0081590E" w:rsidRPr="00622A35" w:rsidRDefault="0081590E"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4"/>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bl>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399"/>
        <w:gridCol w:w="51"/>
        <w:gridCol w:w="5917"/>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17" w:type="dxa"/>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w:t>
            </w:r>
            <w:r w:rsidR="00C6642C">
              <w:rPr>
                <w:rFonts w:ascii="Times New Roman" w:hAnsi="Times New Roman"/>
              </w:rPr>
              <w:t>ies described in Minn. Stat. §§ </w:t>
            </w:r>
            <w:r w:rsidRPr="00622A35">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 subd. 7</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-7</w:t>
            </w:r>
            <w:r w:rsidR="0043129A">
              <w:rPr>
                <w:rFonts w:ascii="Times New Roman" w:hAnsi="Times New Roman"/>
              </w:rPr>
              <w:fldChar w:fldCharType="begin"/>
            </w:r>
            <w:r w:rsidR="0043129A">
              <w:instrText xml:space="preserve"> XE "</w:instrText>
            </w:r>
            <w:r w:rsidR="0043129A" w:rsidRPr="00BB53B5">
              <w:rPr>
                <w:rFonts w:ascii="Times New Roman" w:hAnsi="Times New Roman"/>
              </w:rPr>
              <w:instrText>SEC rule 2a-7</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r w:rsidR="00A4461C">
              <w:rPr>
                <w:rFonts w:ascii="Times New Roman" w:hAnsi="Times New Roman"/>
              </w:rPr>
              <w:t>§</w:t>
            </w:r>
            <w:r w:rsidR="00C6642C">
              <w:rPr>
                <w:rFonts w:ascii="Times New Roman" w:hAnsi="Times New Roman"/>
              </w:rPr>
              <w:t> </w:t>
            </w:r>
            <w:r w:rsidR="00A4461C">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43129A">
              <w:rPr>
                <w:rFonts w:ascii="Times New Roman" w:hAnsi="Times New Roman"/>
              </w:rPr>
              <w:fldChar w:fldCharType="begin"/>
            </w:r>
            <w:r w:rsidR="0043129A">
              <w:instrText xml:space="preserve"> XE "</w:instrText>
            </w:r>
            <w:r w:rsidR="0043129A" w:rsidRPr="00A46808">
              <w:rPr>
                <w:rFonts w:ascii="Times New Roman" w:hAnsi="Times New Roman"/>
              </w:rPr>
              <w:instrText>126C.55</w:instrText>
            </w:r>
            <w:r w:rsidR="0043129A">
              <w:instrText xml:space="preserve">" </w:instrText>
            </w:r>
            <w:r w:rsidR="0043129A">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1525E6" w:rsidRDefault="001525E6"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1525E6">
              <w:rPr>
                <w:rFonts w:ascii="Times New Roman" w:hAnsi="Times New Roman"/>
                <w:b/>
              </w:rPr>
              <w:t xml:space="preserv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Default="00E6606F" w:rsidP="00EE1BCB">
            <w:pPr>
              <w:pStyle w:val="Header"/>
              <w:jc w:val="center"/>
              <w:rPr>
                <w:rFonts w:ascii="Times New Roman" w:hAnsi="Times New Roman"/>
              </w:rPr>
            </w:pPr>
            <w:r w:rsidRPr="00622A35">
              <w:rPr>
                <w:rFonts w:ascii="Times New Roman" w:hAnsi="Times New Roman"/>
              </w:rPr>
              <w:t>subd. 5</w:t>
            </w:r>
          </w:p>
          <w:p w:rsidR="00486BF1" w:rsidRPr="00622A35" w:rsidRDefault="00486BF1"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w:t>
            </w:r>
            <w:r w:rsidR="001525E6">
              <w:rPr>
                <w:rFonts w:ascii="Times New Roman" w:hAnsi="Times New Roman"/>
              </w:rPr>
              <w:t> </w:t>
            </w:r>
            <w:r w:rsidRPr="00622A35">
              <w:rPr>
                <w:rFonts w:ascii="Times New Roman" w:hAnsi="Times New Roman"/>
              </w:rPr>
              <w:t>429.091</w:t>
            </w:r>
            <w:r w:rsidR="0043129A">
              <w:rPr>
                <w:rFonts w:ascii="Times New Roman" w:hAnsi="Times New Roman"/>
              </w:rPr>
              <w:fldChar w:fldCharType="begin"/>
            </w:r>
            <w:r w:rsidR="0043129A">
              <w:instrText xml:space="preserve"> XE "</w:instrText>
            </w:r>
            <w:r w:rsidR="0043129A" w:rsidRPr="007A183A">
              <w:rPr>
                <w:rFonts w:ascii="Times New Roman" w:hAnsi="Times New Roman"/>
              </w:rPr>
              <w:instrText>429.091</w:instrText>
            </w:r>
            <w:r w:rsidR="0043129A">
              <w:instrText xml:space="preserve">" </w:instrText>
            </w:r>
            <w:r w:rsidR="0043129A">
              <w:rPr>
                <w:rFonts w:ascii="Times New Roman" w:hAnsi="Times New Roman"/>
              </w:rPr>
              <w:fldChar w:fldCharType="end"/>
            </w:r>
            <w:r w:rsidRPr="00622A35">
              <w:rPr>
                <w:rFonts w:ascii="Times New Roman" w:hAnsi="Times New Roman"/>
              </w:rPr>
              <w:t>, subd.</w:t>
            </w:r>
            <w:r w:rsidR="001525E6">
              <w:rPr>
                <w:rFonts w:ascii="Times New Roman" w:hAnsi="Times New Roman"/>
              </w:rPr>
              <w:t xml:space="preserve"> </w:t>
            </w:r>
            <w:r w:rsidRPr="00622A35">
              <w:rPr>
                <w:rFonts w:ascii="Times New Roman" w:hAnsi="Times New Roman"/>
              </w:rPr>
              <w:t>7 (special assessments), 469.178</w:t>
            </w:r>
            <w:r w:rsidR="0043129A">
              <w:rPr>
                <w:rFonts w:ascii="Times New Roman" w:hAnsi="Times New Roman"/>
              </w:rPr>
              <w:fldChar w:fldCharType="begin"/>
            </w:r>
            <w:r w:rsidR="0043129A">
              <w:instrText xml:space="preserve"> XE "</w:instrText>
            </w:r>
            <w:r w:rsidR="0043129A" w:rsidRPr="00A818F5">
              <w:rPr>
                <w:rFonts w:ascii="Times New Roman" w:hAnsi="Times New Roman"/>
              </w:rPr>
              <w:instrText>469.178</w:instrText>
            </w:r>
            <w:r w:rsidR="0043129A">
              <w:instrText xml:space="preserve">" </w:instrText>
            </w:r>
            <w:r w:rsidR="0043129A">
              <w:rPr>
                <w:rFonts w:ascii="Times New Roman" w:hAnsi="Times New Roman"/>
              </w:rPr>
              <w:fldChar w:fldCharType="end"/>
            </w:r>
            <w:r w:rsidRPr="00622A35">
              <w:rPr>
                <w:rFonts w:ascii="Times New Roman" w:hAnsi="Times New Roman"/>
              </w:rPr>
              <w:t>, subd. 5 (tax increment bonds), or 475.61</w:t>
            </w:r>
            <w:r w:rsidR="0043129A">
              <w:rPr>
                <w:rFonts w:ascii="Times New Roman" w:hAnsi="Times New Roman"/>
              </w:rPr>
              <w:fldChar w:fldCharType="begin"/>
            </w:r>
            <w:r w:rsidR="0043129A">
              <w:instrText xml:space="preserve"> XE "</w:instrText>
            </w:r>
            <w:r w:rsidR="0043129A" w:rsidRPr="00FB0704">
              <w:rPr>
                <w:rFonts w:ascii="Times New Roman" w:hAnsi="Times New Roman"/>
              </w:rPr>
              <w:instrText>475.61</w:instrText>
            </w:r>
            <w:r w:rsidR="0043129A">
              <w:instrText xml:space="preserve">" </w:instrText>
            </w:r>
            <w:r w:rsidR="0043129A">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w:t>
            </w:r>
            <w:r w:rsidR="0043129A">
              <w:rPr>
                <w:rFonts w:ascii="Times New Roman" w:hAnsi="Times New Roman"/>
              </w:rPr>
              <w:t xml:space="preserve"> </w:t>
            </w:r>
            <w:r>
              <w:rPr>
                <w:rFonts w:ascii="Times New Roman" w:hAnsi="Times New Roman"/>
              </w:rPr>
              <w:t>136F.91</w:t>
            </w:r>
            <w:r w:rsidR="0043129A">
              <w:rPr>
                <w:rFonts w:ascii="Times New Roman" w:hAnsi="Times New Roman"/>
              </w:rPr>
              <w:fldChar w:fldCharType="begin"/>
            </w:r>
            <w:r w:rsidR="0043129A">
              <w:instrText xml:space="preserve"> XE "</w:instrText>
            </w:r>
            <w:r w:rsidR="0043129A" w:rsidRPr="009F2276">
              <w:rPr>
                <w:rFonts w:ascii="Times New Roman" w:hAnsi="Times New Roman"/>
              </w:rPr>
              <w:instrText>136F.91</w:instrText>
            </w:r>
            <w:r w:rsidR="0043129A">
              <w:instrText xml:space="preserve">" </w:instrText>
            </w:r>
            <w:r w:rsidR="0043129A">
              <w:rPr>
                <w:rFonts w:ascii="Times New Roman" w:hAnsi="Times New Roman"/>
              </w:rPr>
              <w:fldChar w:fldCharType="end"/>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w:t>
            </w:r>
            <w:r w:rsidR="0043129A">
              <w:rPr>
                <w:rFonts w:ascii="Times New Roman" w:hAnsi="Times New Roman"/>
              </w:rPr>
              <w:fldChar w:fldCharType="begin"/>
            </w:r>
            <w:r w:rsidR="0043129A">
              <w:instrText xml:space="preserve"> XE "</w:instrText>
            </w:r>
            <w:r w:rsidR="0043129A" w:rsidRPr="00EF408A">
              <w:rPr>
                <w:rFonts w:ascii="Times New Roman" w:hAnsi="Times New Roman"/>
              </w:rPr>
              <w:instrText>136F.90</w:instrText>
            </w:r>
            <w:r w:rsidR="0043129A">
              <w:instrText xml:space="preserve">" </w:instrText>
            </w:r>
            <w:r w:rsidR="0043129A">
              <w:rPr>
                <w:rFonts w:ascii="Times New Roman" w:hAnsi="Times New Roman"/>
              </w:rPr>
              <w:fldChar w:fldCharType="end"/>
            </w:r>
            <w:r>
              <w:rPr>
                <w:rFonts w:ascii="Times New Roman" w:hAnsi="Times New Roman"/>
              </w:rPr>
              <w:t xml:space="preserve"> to 136F.98</w:t>
            </w:r>
            <w:r w:rsidR="0043129A">
              <w:rPr>
                <w:rFonts w:ascii="Times New Roman" w:hAnsi="Times New Roman"/>
              </w:rPr>
              <w:fldChar w:fldCharType="begin"/>
            </w:r>
            <w:r w:rsidR="0043129A">
              <w:instrText xml:space="preserve"> XE "</w:instrText>
            </w:r>
            <w:r w:rsidR="0043129A" w:rsidRPr="00AF3450">
              <w:rPr>
                <w:rFonts w:ascii="Times New Roman" w:hAnsi="Times New Roman"/>
              </w:rPr>
              <w:instrText>136F.98</w:instrText>
            </w:r>
            <w:r w:rsidR="0043129A">
              <w:instrText xml:space="preserve">" </w:instrText>
            </w:r>
            <w:r w:rsidR="0043129A">
              <w:rPr>
                <w:rFonts w:ascii="Times New Roman" w:hAnsi="Times New Roman"/>
              </w:rPr>
              <w:fldChar w:fldCharType="end"/>
            </w:r>
            <w:r>
              <w:rPr>
                <w:rFonts w:ascii="Times New Roman" w:hAnsi="Times New Roman"/>
              </w:rPr>
              <w:t>?</w:t>
            </w:r>
          </w:p>
          <w:p w:rsidR="0081590E" w:rsidRPr="00622A35" w:rsidRDefault="0081590E">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lastRenderedPageBreak/>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762B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w:t>
            </w:r>
            <w:r w:rsidR="001525E6">
              <w:rPr>
                <w:rFonts w:ascii="Times New Roman" w:hAnsi="Times New Roman"/>
              </w:rPr>
              <w:t> </w:t>
            </w:r>
            <w:r w:rsidRPr="00622A35">
              <w:rPr>
                <w:rFonts w:ascii="Times New Roman" w:hAnsi="Times New Roman"/>
              </w:rPr>
              <w:t xml:space="preserve">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F762BE" w:rsidRPr="00622A35" w:rsidTr="00F762BE">
        <w:trPr>
          <w:cantSplit/>
        </w:trPr>
        <w:tc>
          <w:tcPr>
            <w:tcW w:w="1297" w:type="dxa"/>
            <w:tcBorders>
              <w:top w:val="single" w:sz="4" w:space="0" w:color="auto"/>
              <w:bottom w:val="single" w:sz="4" w:space="0" w:color="auto"/>
            </w:tcBorders>
          </w:tcPr>
          <w:p w:rsidR="00F762BE" w:rsidRDefault="00F762BE" w:rsidP="0043129A">
            <w:pPr>
              <w:pStyle w:val="Header"/>
              <w:rPr>
                <w:rFonts w:ascii="Times New Roman" w:hAnsi="Times New Roman"/>
              </w:rPr>
            </w:pPr>
          </w:p>
        </w:tc>
        <w:tc>
          <w:tcPr>
            <w:tcW w:w="491"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48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399"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5968" w:type="dxa"/>
            <w:gridSpan w:val="2"/>
            <w:tcBorders>
              <w:top w:val="single" w:sz="4" w:space="0" w:color="auto"/>
              <w:bottom w:val="single" w:sz="4" w:space="0" w:color="auto"/>
            </w:tcBorders>
          </w:tcPr>
          <w:p w:rsidR="00F762BE" w:rsidRPr="00622A35" w:rsidRDefault="00F762B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53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109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tcBorders>
          </w:tcPr>
          <w:p w:rsidR="00C9302E" w:rsidRDefault="00C9302E" w:rsidP="0043129A">
            <w:pPr>
              <w:pStyle w:val="Header"/>
              <w:rPr>
                <w:rFonts w:ascii="Times New Roman" w:hAnsi="Times New Roman"/>
              </w:rPr>
            </w:pPr>
          </w:p>
          <w:p w:rsidR="00C9302E" w:rsidRPr="00622A35" w:rsidRDefault="00C9302E" w:rsidP="0043129A">
            <w:pPr>
              <w:pStyle w:val="Header"/>
              <w:rPr>
                <w:rFonts w:ascii="Times New Roman" w:hAnsi="Times New Roman"/>
              </w:rPr>
            </w:pPr>
          </w:p>
        </w:tc>
        <w:tc>
          <w:tcPr>
            <w:tcW w:w="491"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48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399"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5968" w:type="dxa"/>
            <w:gridSpan w:val="2"/>
            <w:tcBorders>
              <w:top w:val="single" w:sz="4" w:space="0" w:color="auto"/>
              <w:bottom w:val="single" w:sz="4" w:space="0" w:color="auto"/>
            </w:tcBorders>
          </w:tcPr>
          <w:p w:rsidR="00C9302E" w:rsidRPr="00622A35" w:rsidRDefault="00C9302E" w:rsidP="0043129A">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rsidR="00C9302E" w:rsidRPr="00622A35" w:rsidRDefault="00C9302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jc w:val="center"/>
              <w:rPr>
                <w:rFonts w:ascii="Times New Roman" w:hAnsi="Times New Roman"/>
              </w:rPr>
            </w:pPr>
          </w:p>
        </w:tc>
        <w:tc>
          <w:tcPr>
            <w:tcW w:w="7338" w:type="dxa"/>
            <w:gridSpan w:val="5"/>
            <w:tcBorders>
              <w:top w:val="single" w:sz="4" w:space="0" w:color="auto"/>
              <w:left w:val="single" w:sz="4" w:space="0" w:color="auto"/>
              <w:bottom w:val="single" w:sz="4" w:space="0" w:color="auto"/>
              <w:right w:val="single" w:sz="4" w:space="0" w:color="auto"/>
            </w:tcBorders>
          </w:tcPr>
          <w:p w:rsidR="00A62245" w:rsidRDefault="00A62245" w:rsidP="0043129A">
            <w:pPr>
              <w:pStyle w:val="Header"/>
              <w:rPr>
                <w:rFonts w:ascii="Times New Roman" w:hAnsi="Times New Roman"/>
              </w:rPr>
            </w:pPr>
            <w:r>
              <w:rPr>
                <w:rFonts w:ascii="Times New Roman" w:hAnsi="Times New Roman"/>
              </w:rPr>
              <w:t>If the county invested in equity investments, answer the following questions:</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jc w:val="center"/>
              <w:rPr>
                <w:rFonts w:ascii="Times New Roman" w:hAnsi="Times New Roman"/>
              </w:rPr>
            </w:pPr>
            <w:r w:rsidRPr="00622A35">
              <w:rPr>
                <w:rFonts w:ascii="Times New Roman" w:hAnsi="Times New Roman"/>
              </w:rPr>
              <w:t>§ 118A.0</w:t>
            </w:r>
            <w:r w:rsidR="00A62245">
              <w:rPr>
                <w:rFonts w:ascii="Times New Roman" w:hAnsi="Times New Roman"/>
              </w:rPr>
              <w:t>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sidRPr="00622A35">
              <w:rPr>
                <w:rFonts w:ascii="Times New Roman" w:hAnsi="Times New Roman"/>
              </w:rPr>
              <w:t>,</w:t>
            </w:r>
          </w:p>
          <w:p w:rsidR="00C9302E" w:rsidRDefault="00C9302E" w:rsidP="00A62245">
            <w:pPr>
              <w:pStyle w:val="Header"/>
              <w:jc w:val="center"/>
              <w:rPr>
                <w:rFonts w:ascii="Times New Roman" w:hAnsi="Times New Roman"/>
              </w:rPr>
            </w:pPr>
            <w:r w:rsidRPr="00622A35">
              <w:rPr>
                <w:rFonts w:ascii="Times New Roman" w:hAnsi="Times New Roman"/>
              </w:rPr>
              <w:t xml:space="preserve">subd. </w:t>
            </w:r>
            <w:r w:rsidR="00A62245">
              <w:rPr>
                <w:rFonts w:ascii="Times New Roman" w:hAnsi="Times New Roman"/>
              </w:rPr>
              <w:t>1</w:t>
            </w:r>
          </w:p>
          <w:p w:rsidR="00F762BE" w:rsidRPr="00622A35" w:rsidRDefault="00F762BE" w:rsidP="00A6224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43129A">
            <w:pPr>
              <w:pStyle w:val="Header"/>
              <w:rPr>
                <w:rFonts w:ascii="Times New Roman" w:hAnsi="Times New Roman"/>
              </w:rPr>
            </w:pPr>
            <w:r w:rsidRPr="00622A35">
              <w:rPr>
                <w:rFonts w:ascii="Times New Roman" w:hAnsi="Times New Roman"/>
              </w:rPr>
              <w:t>A.</w:t>
            </w:r>
          </w:p>
        </w:tc>
        <w:tc>
          <w:tcPr>
            <w:tcW w:w="6847" w:type="dxa"/>
            <w:gridSpan w:val="4"/>
            <w:tcBorders>
              <w:top w:val="single" w:sz="4" w:space="0" w:color="auto"/>
              <w:bottom w:val="single" w:sz="4" w:space="0" w:color="auto"/>
              <w:right w:val="single" w:sz="4" w:space="0" w:color="auto"/>
            </w:tcBorders>
          </w:tcPr>
          <w:p w:rsidR="00C9302E" w:rsidRPr="00622A35" w:rsidRDefault="00A62245" w:rsidP="00A62245">
            <w:pPr>
              <w:pStyle w:val="Header"/>
              <w:rPr>
                <w:rFonts w:ascii="Times New Roman" w:hAnsi="Times New Roman"/>
              </w:rPr>
            </w:pPr>
            <w:r>
              <w:rPr>
                <w:rFonts w:ascii="Times New Roman" w:hAnsi="Times New Roman"/>
              </w:rPr>
              <w:t>Does the county meet one of the following requirements:</w:t>
            </w: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 xml:space="preserve">a population of more than 100,000, </w:t>
            </w:r>
            <w:r w:rsidRPr="00A62245">
              <w:rPr>
                <w:rFonts w:ascii="Times New Roman" w:hAnsi="Times New Roman"/>
                <w:u w:val="single"/>
              </w:rPr>
              <w:t>or</w:t>
            </w:r>
            <w:r w:rsidRPr="00622A35">
              <w:rPr>
                <w:rFonts w:ascii="Times New Roman" w:hAnsi="Times New Roman"/>
              </w:rPr>
              <w:t>:</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A62245" w:rsidRDefault="00A62245" w:rsidP="0043129A">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7207DB">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7207DB" w:rsidRDefault="007207DB" w:rsidP="007207DB">
            <w:pPr>
              <w:pStyle w:val="Header"/>
              <w:jc w:val="center"/>
              <w:rPr>
                <w:rFonts w:ascii="Times New Roman" w:hAnsi="Times New Roman"/>
              </w:rPr>
            </w:pPr>
            <w:r>
              <w:rPr>
                <w:rFonts w:ascii="Times New Roman" w:hAnsi="Times New Roman"/>
              </w:rPr>
              <w:t>subd. 2</w:t>
            </w:r>
          </w:p>
          <w:p w:rsidR="00C9302E" w:rsidRPr="00622A35" w:rsidRDefault="00C9302E"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43129A">
            <w:pPr>
              <w:pStyle w:val="Header"/>
              <w:rPr>
                <w:rFonts w:ascii="Times New Roman" w:hAnsi="Times New Roman"/>
              </w:rPr>
            </w:pPr>
            <w:r w:rsidRPr="00622A35">
              <w:rPr>
                <w:rFonts w:ascii="Times New Roman" w:hAnsi="Times New Roman"/>
              </w:rPr>
              <w:t>B.</w:t>
            </w:r>
          </w:p>
        </w:tc>
        <w:tc>
          <w:tcPr>
            <w:tcW w:w="6847" w:type="dxa"/>
            <w:gridSpan w:val="4"/>
            <w:tcBorders>
              <w:top w:val="single" w:sz="4" w:space="0" w:color="auto"/>
              <w:bottom w:val="single" w:sz="4" w:space="0" w:color="auto"/>
              <w:right w:val="single" w:sz="4" w:space="0" w:color="auto"/>
            </w:tcBorders>
          </w:tcPr>
          <w:p w:rsidR="00C9302E"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rsidR="00F762BE" w:rsidRPr="00622A35"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an index mutual fund:</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based in the United States</w:t>
            </w:r>
            <w:r w:rsidR="00BC7224">
              <w:rPr>
                <w:rFonts w:ascii="Times New Roman" w:hAnsi="Times New Roman"/>
              </w:rPr>
              <w:t>,</w:t>
            </w:r>
            <w:r>
              <w:rPr>
                <w:rFonts w:ascii="Times New Roman" w:hAnsi="Times New Roman"/>
              </w:rPr>
              <w:t xml:space="preserve"> and</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7207DB" w:rsidRPr="00622A35" w:rsidRDefault="0081590E" w:rsidP="0043129A">
            <w:pPr>
              <w:pStyle w:val="Header"/>
              <w:rPr>
                <w:rFonts w:ascii="Times New Roman" w:hAnsi="Times New Roman"/>
              </w:rPr>
            </w:pPr>
            <w:r>
              <w:rPr>
                <w:rFonts w:ascii="Times New Roman" w:hAnsi="Times New Roman"/>
              </w:rPr>
              <w:t>i</w:t>
            </w:r>
            <w:r w:rsidR="007207DB">
              <w:rPr>
                <w:rFonts w:ascii="Times New Roman" w:hAnsi="Times New Roman"/>
              </w:rPr>
              <w:t>ndexed to a broad market United States equity index?</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in a long-term equity account with the State Board of Investment?</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bl>
    <w:p w:rsidR="007207DB" w:rsidRDefault="007207DB">
      <w:pPr>
        <w:rPr>
          <w:sz w:val="8"/>
          <w:szCs w:val="8"/>
        </w:rPr>
      </w:pPr>
      <w:r>
        <w:rPr>
          <w:sz w:val="8"/>
          <w:szCs w:val="8"/>
        </w:rPr>
        <w:br w:type="page"/>
      </w:r>
    </w:p>
    <w:p w:rsidR="007207DB" w:rsidRPr="007207DB" w:rsidRDefault="007207DB">
      <w:pPr>
        <w:rPr>
          <w:sz w:val="8"/>
          <w:szCs w:val="8"/>
        </w:rPr>
      </w:pPr>
    </w:p>
    <w:tbl>
      <w:tblPr>
        <w:tblW w:w="10795" w:type="dxa"/>
        <w:tblLayout w:type="fixed"/>
        <w:tblLook w:val="0000" w:firstRow="0" w:lastRow="0" w:firstColumn="0" w:lastColumn="0" w:noHBand="0" w:noVBand="0"/>
      </w:tblPr>
      <w:tblGrid>
        <w:gridCol w:w="1297"/>
        <w:gridCol w:w="491"/>
        <w:gridCol w:w="480"/>
        <w:gridCol w:w="6367"/>
        <w:gridCol w:w="540"/>
        <w:gridCol w:w="530"/>
        <w:gridCol w:w="1090"/>
      </w:tblGrid>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7207DB" w:rsidRDefault="007207DB" w:rsidP="0043129A">
            <w:pPr>
              <w:pStyle w:val="Header"/>
              <w:jc w:val="center"/>
              <w:rPr>
                <w:rFonts w:ascii="Times New Roman" w:hAnsi="Times New Roman"/>
              </w:rPr>
            </w:pPr>
            <w:r>
              <w:rPr>
                <w:rFonts w:ascii="Times New Roman" w:hAnsi="Times New Roman"/>
              </w:rPr>
              <w:t>subd. 3</w:t>
            </w:r>
          </w:p>
          <w:p w:rsidR="007207DB" w:rsidRPr="00622A35" w:rsidRDefault="007207DB"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C</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7207DB"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B33C4D">
              <w:rPr>
                <w:rFonts w:ascii="Times New Roman" w:hAnsi="Times New Roman"/>
              </w:rPr>
              <w:t xml:space="preserve">total </w:t>
            </w:r>
            <w:r>
              <w:rPr>
                <w:rFonts w:ascii="Times New Roman" w:hAnsi="Times New Roman"/>
              </w:rPr>
              <w:t>amount invested in equities not exceed 15 percent of the sum of:</w:t>
            </w:r>
          </w:p>
          <w:p w:rsidR="007207DB" w:rsidRPr="00622A35" w:rsidRDefault="007207DB"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BC7224" w:rsidP="0043129A">
            <w:pPr>
              <w:pStyle w:val="Header"/>
              <w:rPr>
                <w:rFonts w:ascii="Times New Roman" w:hAnsi="Times New Roman"/>
              </w:rPr>
            </w:pPr>
            <w:r>
              <w:rPr>
                <w:rFonts w:ascii="Times New Roman" w:hAnsi="Times New Roman"/>
              </w:rPr>
              <w:t>1</w:t>
            </w:r>
            <w:r w:rsidR="007207DB"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Pr="00622A35" w:rsidRDefault="00BC7224" w:rsidP="0043129A">
            <w:pPr>
              <w:pStyle w:val="Header"/>
              <w:rPr>
                <w:rFonts w:ascii="Times New Roman" w:hAnsi="Times New Roman"/>
              </w:rPr>
            </w:pPr>
            <w:r>
              <w:rPr>
                <w:rFonts w:ascii="Times New Roman" w:hAnsi="Times New Roman"/>
              </w:rPr>
              <w:t>unassigned cash;</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Default="00BC7224" w:rsidP="00BC7224">
            <w:pPr>
              <w:pStyle w:val="Header"/>
              <w:rPr>
                <w:rFonts w:ascii="Times New Roman" w:hAnsi="Times New Roman"/>
              </w:rPr>
            </w:pPr>
            <w:r>
              <w:rPr>
                <w:rFonts w:ascii="Times New Roman" w:hAnsi="Times New Roman"/>
              </w:rPr>
              <w:t>cash equivalents;</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deposits; and</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4.</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investments,</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based on the most recent audited statement</w:t>
            </w:r>
            <w:r w:rsidR="00B33C4D">
              <w:rPr>
                <w:rFonts w:ascii="Times New Roman" w:hAnsi="Times New Roman"/>
              </w:rPr>
              <w:t xml:space="preserve"> of net position, which must be compliant and audited pursuant to government</w:t>
            </w:r>
            <w:r w:rsidR="002E2E64">
              <w:rPr>
                <w:rFonts w:ascii="Times New Roman" w:hAnsi="Times New Roman"/>
              </w:rPr>
              <w:t>al</w:t>
            </w:r>
            <w:r w:rsidR="00B33C4D">
              <w:rPr>
                <w:rFonts w:ascii="Times New Roman" w:hAnsi="Times New Roman"/>
              </w:rPr>
              <w:t xml:space="preserve"> accounting and auditing standards</w:t>
            </w:r>
            <w:r>
              <w:rPr>
                <w:rFonts w:ascii="Times New Roman" w:hAnsi="Times New Roman"/>
              </w:rPr>
              <w: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33C4D"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33C4D" w:rsidRPr="00622A35" w:rsidRDefault="00B33C4D"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33C4D" w:rsidRDefault="00B33C4D" w:rsidP="00BC7224">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rsidR="00B33C4D" w:rsidRDefault="00B33C4D" w:rsidP="00BC7224">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Default="00BC7224"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BC7224" w:rsidRDefault="00BC7224" w:rsidP="0043129A">
            <w:pPr>
              <w:pStyle w:val="Header"/>
              <w:jc w:val="center"/>
              <w:rPr>
                <w:rFonts w:ascii="Times New Roman" w:hAnsi="Times New Roman"/>
              </w:rPr>
            </w:pPr>
            <w:r>
              <w:rPr>
                <w:rFonts w:ascii="Times New Roman" w:hAnsi="Times New Roman"/>
              </w:rPr>
              <w:t>subd. 4</w:t>
            </w:r>
          </w:p>
          <w:p w:rsidR="00BC7224" w:rsidRPr="00622A35" w:rsidRDefault="00BC7224"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BC7224">
            <w:pPr>
              <w:pStyle w:val="Header"/>
              <w:rPr>
                <w:rFonts w:ascii="Times New Roman" w:hAnsi="Times New Roman"/>
              </w:rPr>
            </w:pPr>
            <w:r>
              <w:rPr>
                <w:rFonts w:ascii="Times New Roman" w:hAnsi="Times New Roman"/>
              </w:rPr>
              <w:t>D</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BC7224"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did the county board adopt a resolution that included the following statements:</w:t>
            </w:r>
          </w:p>
          <w:p w:rsidR="00BC7224" w:rsidRPr="00622A35"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 xml:space="preserve">the county board understands that the equity investments have a risk of loss, </w:t>
            </w:r>
          </w:p>
          <w:p w:rsidR="00BC7224" w:rsidRPr="00622A35" w:rsidRDefault="00BC7224"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understands the types of funds being invested and the specific investments themselves, and</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certifies that all funds designated for investment by the State Board of Investment meet the requirements of Minn. Stat. §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 xml:space="preserve"> and the policies and procedures established by the State Board of Investment.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bl>
    <w:p w:rsidR="007207DB" w:rsidRDefault="007207DB"/>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E6606F" w:rsidRPr="00622A35" w:rsidTr="00BC7224">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w:t>
            </w:r>
            <w:r w:rsidR="00A62245">
              <w:rPr>
                <w:rFonts w:ascii="Times New Roman" w:hAnsi="Times New Roman"/>
                <w:b/>
                <w:bCs/>
              </w:rPr>
              <w:t>I</w:t>
            </w:r>
            <w:r w:rsidRPr="00622A35">
              <w:rPr>
                <w:rFonts w:ascii="Times New Roman" w:hAnsi="Times New Roman"/>
                <w:b/>
                <w:bCs/>
              </w:rPr>
              <w:t>.  Broker Acknowledgement Certification</w:t>
            </w:r>
          </w:p>
          <w:p w:rsidR="00E6606F" w:rsidRPr="00622A35" w:rsidRDefault="00E6606F">
            <w:pPr>
              <w:pStyle w:val="Header"/>
              <w:jc w:val="center"/>
              <w:rPr>
                <w:rFonts w:ascii="Times New Roman" w:hAnsi="Times New Roman"/>
                <w:b/>
                <w:bCs/>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A3572E" w:rsidRPr="00B33C4D" w:rsidRDefault="00A3572E"/>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w:t>
            </w:r>
            <w:r w:rsidR="00BC7224">
              <w:rPr>
                <w:rFonts w:ascii="Times New Roman" w:hAnsi="Times New Roman"/>
                <w:b/>
                <w:bCs/>
              </w:rPr>
              <w:t>I</w:t>
            </w:r>
            <w:r w:rsidRPr="00622A35">
              <w:rPr>
                <w:rFonts w:ascii="Times New Roman" w:hAnsi="Times New Roman"/>
                <w:b/>
                <w:bCs/>
              </w:rPr>
              <w:t>.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rsidTr="00FB3771">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056" w:type="dxa"/>
            <w:tcBorders>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1419AB">
          <w:headerReference w:type="default" r:id="rId10"/>
          <w:footerReference w:type="default" r:id="rId11"/>
          <w:footerReference w:type="first" r:id="rId12"/>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9A" w:rsidRDefault="0043129A">
      <w:r>
        <w:separator/>
      </w:r>
    </w:p>
  </w:endnote>
  <w:endnote w:type="continuationSeparator" w:id="0">
    <w:p w:rsidR="0043129A" w:rsidRDefault="0043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widowControl w:val="0"/>
      <w:jc w:val="both"/>
    </w:pPr>
    <w:r>
      <w:t>11/03</w:t>
    </w:r>
  </w:p>
  <w:p w:rsidR="0043129A" w:rsidRDefault="0043129A">
    <w:pPr>
      <w:framePr w:w="9360" w:h="302" w:hRule="exact" w:wrap="notBeside" w:vAnchor="page" w:hAnchor="text" w:y="14832"/>
      <w:widowControl w:val="0"/>
      <w:spacing w:line="0" w:lineRule="atLeast"/>
      <w:jc w:val="center"/>
      <w:rPr>
        <w:vanish/>
        <w:sz w:val="26"/>
      </w:rPr>
    </w:pPr>
    <w:r>
      <w:rPr>
        <w:sz w:val="26"/>
      </w:rPr>
      <w:pgNum/>
    </w:r>
  </w:p>
  <w:p w:rsidR="0043129A" w:rsidRDefault="0043129A">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Pr="009360C4" w:rsidRDefault="00D35268">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CE18DB">
      <w:rPr>
        <w:rFonts w:ascii="Times New Roman" w:hAnsi="Times New Roman"/>
      </w:rPr>
      <w:t>2</w:t>
    </w:r>
    <w:r w:rsidR="0043129A">
      <w:rPr>
        <w:rFonts w:ascii="Times New Roman" w:hAnsi="Times New Roman"/>
      </w:rPr>
      <w:t>/20</w:t>
    </w:r>
    <w:r>
      <w:rPr>
        <w:rFonts w:ascii="Times New Roman" w:hAnsi="Times New Roman"/>
      </w:rPr>
      <w:t>21</w:t>
    </w:r>
    <w:r w:rsidR="0043129A">
      <w:rPr>
        <w:rFonts w:ascii="Times New Roman" w:hAnsi="Times New Roman"/>
      </w:rPr>
      <w:t xml:space="preserve">     Counties</w:t>
    </w:r>
    <w:r w:rsidR="0043129A">
      <w:tab/>
    </w:r>
    <w:r w:rsidR="0043129A" w:rsidRPr="009360C4">
      <w:rPr>
        <w:rFonts w:ascii="Times New Roman" w:hAnsi="Times New Roman"/>
      </w:rPr>
      <w:t>1-</w:t>
    </w:r>
    <w:r w:rsidR="0043129A" w:rsidRPr="009360C4">
      <w:rPr>
        <w:rFonts w:ascii="Times New Roman" w:hAnsi="Times New Roman"/>
      </w:rPr>
      <w:fldChar w:fldCharType="begin"/>
    </w:r>
    <w:r w:rsidR="0043129A" w:rsidRPr="009360C4">
      <w:rPr>
        <w:rFonts w:ascii="Times New Roman" w:hAnsi="Times New Roman"/>
      </w:rPr>
      <w:instrText xml:space="preserve"> PAGE   \* MERGEFORMAT </w:instrText>
    </w:r>
    <w:r w:rsidR="0043129A" w:rsidRPr="009360C4">
      <w:rPr>
        <w:rFonts w:ascii="Times New Roman" w:hAnsi="Times New Roman"/>
      </w:rPr>
      <w:fldChar w:fldCharType="separate"/>
    </w:r>
    <w:r>
      <w:rPr>
        <w:rFonts w:ascii="Times New Roman" w:hAnsi="Times New Roman"/>
        <w:noProof/>
      </w:rPr>
      <w:t>17</w:t>
    </w:r>
    <w:r w:rsidR="0043129A" w:rsidRPr="009360C4">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Pr="00622A35" w:rsidRDefault="00D35268" w:rsidP="00093B58">
    <w:pPr>
      <w:pStyle w:val="Footer"/>
      <w:tabs>
        <w:tab w:val="clear" w:pos="4320"/>
        <w:tab w:val="clear" w:pos="8640"/>
        <w:tab w:val="center" w:pos="5310"/>
      </w:tabs>
      <w:rPr>
        <w:rFonts w:ascii="Times New Roman" w:hAnsi="Times New Roman"/>
      </w:rPr>
    </w:pPr>
    <w:r>
      <w:rPr>
        <w:rFonts w:ascii="Times New Roman" w:hAnsi="Times New Roman"/>
      </w:rPr>
      <w:t>02</w:t>
    </w:r>
    <w:r w:rsidR="0043129A">
      <w:rPr>
        <w:rFonts w:ascii="Times New Roman" w:hAnsi="Times New Roman"/>
      </w:rPr>
      <w:t>/20</w:t>
    </w:r>
    <w:r>
      <w:rPr>
        <w:rFonts w:ascii="Times New Roman" w:hAnsi="Times New Roman"/>
      </w:rPr>
      <w:t>21</w:t>
    </w:r>
    <w:r w:rsidR="0043129A">
      <w:rPr>
        <w:rFonts w:ascii="Times New Roman" w:hAnsi="Times New Roman"/>
      </w:rPr>
      <w:t xml:space="preserve">     Counties</w:t>
    </w:r>
    <w:r w:rsidR="0043129A">
      <w:rPr>
        <w:rFonts w:ascii="Times New Roman" w:hAnsi="Times New Roman"/>
      </w:rPr>
      <w:tab/>
      <w:t>1-</w:t>
    </w:r>
    <w:r w:rsidR="0043129A" w:rsidRPr="00090BF7">
      <w:rPr>
        <w:rFonts w:ascii="Times New Roman" w:hAnsi="Times New Roman"/>
      </w:rPr>
      <w:fldChar w:fldCharType="begin"/>
    </w:r>
    <w:r w:rsidR="0043129A" w:rsidRPr="00090BF7">
      <w:rPr>
        <w:rFonts w:ascii="Times New Roman" w:hAnsi="Times New Roman"/>
      </w:rPr>
      <w:instrText xml:space="preserve"> PAGE   \* MERGEFORMAT </w:instrText>
    </w:r>
    <w:r w:rsidR="0043129A" w:rsidRPr="00090BF7">
      <w:rPr>
        <w:rFonts w:ascii="Times New Roman" w:hAnsi="Times New Roman"/>
      </w:rPr>
      <w:fldChar w:fldCharType="separate"/>
    </w:r>
    <w:r>
      <w:rPr>
        <w:rFonts w:ascii="Times New Roman" w:hAnsi="Times New Roman"/>
        <w:noProof/>
      </w:rPr>
      <w:t>11</w:t>
    </w:r>
    <w:r w:rsidR="0043129A" w:rsidRPr="00090BF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9A" w:rsidRDefault="0043129A">
      <w:r>
        <w:separator/>
      </w:r>
    </w:p>
  </w:footnote>
  <w:footnote w:type="continuationSeparator" w:id="0">
    <w:p w:rsidR="0043129A" w:rsidRDefault="0043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9A" w:rsidRDefault="0043129A">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ook w:val="0000" w:firstRow="0" w:lastRow="0" w:firstColumn="0" w:lastColumn="0" w:noHBand="0" w:noVBand="0"/>
    </w:tblPr>
    <w:tblGrid>
      <w:gridCol w:w="1307"/>
      <w:gridCol w:w="480"/>
      <w:gridCol w:w="6834"/>
      <w:gridCol w:w="547"/>
      <w:gridCol w:w="540"/>
      <w:gridCol w:w="1087"/>
    </w:tblGrid>
    <w:tr w:rsidR="0043129A" w:rsidRPr="00622A35" w:rsidTr="001525E6">
      <w:tc>
        <w:tcPr>
          <w:tcW w:w="1308"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jc w:val="center"/>
            <w:rPr>
              <w:rFonts w:ascii="Times New Roman" w:hAnsi="Times New Roman"/>
            </w:rPr>
          </w:pPr>
          <w:r w:rsidRPr="00622A35">
            <w:rPr>
              <w:rFonts w:ascii="Times New Roman" w:hAnsi="Times New Roman"/>
            </w:rPr>
            <w:t>Minn. Stat.</w:t>
          </w:r>
        </w:p>
        <w:p w:rsidR="0043129A" w:rsidRPr="00622A35" w:rsidRDefault="0043129A">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3129A" w:rsidRPr="00622A35" w:rsidRDefault="0043129A">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43129A" w:rsidRPr="00622A35" w:rsidRDefault="0043129A">
          <w:pPr>
            <w:pStyle w:val="Heading1"/>
            <w:rPr>
              <w:rFonts w:ascii="Times New Roman" w:hAnsi="Times New Roman"/>
              <w:sz w:val="20"/>
            </w:rPr>
          </w:pPr>
          <w:r w:rsidRPr="00622A35">
            <w:rPr>
              <w:rFonts w:ascii="Times New Roman" w:hAnsi="Times New Roman"/>
              <w:sz w:val="20"/>
            </w:rPr>
            <w:t>DEPOSITORIES OF PUBLIC FUNDS AND</w:t>
          </w:r>
        </w:p>
        <w:p w:rsidR="0043129A" w:rsidRPr="00622A35" w:rsidRDefault="0043129A">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rPr>
              <w:rFonts w:ascii="Times New Roman" w:hAnsi="Times New Roman"/>
            </w:rPr>
          </w:pPr>
        </w:p>
        <w:p w:rsidR="0043129A" w:rsidRPr="00622A35" w:rsidRDefault="0043129A">
          <w:pPr>
            <w:pStyle w:val="Header"/>
            <w:jc w:val="center"/>
            <w:rPr>
              <w:rFonts w:ascii="Times New Roman" w:hAnsi="Times New Roman"/>
            </w:rPr>
          </w:pPr>
          <w:r w:rsidRPr="00622A35">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43129A" w:rsidRPr="00622A35" w:rsidRDefault="0043129A">
          <w:pPr>
            <w:pStyle w:val="Header"/>
            <w:rPr>
              <w:rFonts w:ascii="Times New Roman" w:hAnsi="Times New Roman"/>
            </w:rPr>
          </w:pPr>
        </w:p>
        <w:p w:rsidR="0043129A" w:rsidRPr="00622A35" w:rsidRDefault="0043129A">
          <w:pPr>
            <w:pStyle w:val="Header"/>
            <w:jc w:val="center"/>
            <w:rPr>
              <w:rFonts w:ascii="Times New Roman" w:hAnsi="Times New Roman"/>
            </w:rPr>
          </w:pPr>
          <w:r w:rsidRPr="00622A35">
            <w:rPr>
              <w:rFonts w:ascii="Times New Roman" w:hAnsi="Times New Roman"/>
            </w:rPr>
            <w:t>No</w:t>
          </w:r>
        </w:p>
      </w:tc>
      <w:tc>
        <w:tcPr>
          <w:tcW w:w="1080" w:type="dxa"/>
          <w:tcBorders>
            <w:top w:val="single" w:sz="4" w:space="0" w:color="auto"/>
            <w:left w:val="single" w:sz="4" w:space="0" w:color="auto"/>
            <w:bottom w:val="single" w:sz="4" w:space="0" w:color="auto"/>
            <w:right w:val="single" w:sz="4" w:space="0" w:color="auto"/>
          </w:tcBorders>
        </w:tcPr>
        <w:p w:rsidR="0043129A" w:rsidRPr="00622A35" w:rsidRDefault="0043129A" w:rsidP="001419AB">
          <w:pPr>
            <w:pStyle w:val="Header"/>
            <w:ind w:left="-29"/>
            <w:jc w:val="center"/>
            <w:rPr>
              <w:rFonts w:ascii="Times New Roman" w:hAnsi="Times New Roman"/>
            </w:rPr>
          </w:pPr>
          <w:r w:rsidRPr="00622A35">
            <w:rPr>
              <w:rFonts w:ascii="Times New Roman" w:hAnsi="Times New Roman"/>
            </w:rPr>
            <w:t>Workpaper</w:t>
          </w:r>
        </w:p>
        <w:p w:rsidR="0043129A" w:rsidRPr="00622A35" w:rsidRDefault="0043129A"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rsidR="0043129A" w:rsidRPr="0081590E" w:rsidRDefault="0043129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525E6"/>
    <w:rsid w:val="00163742"/>
    <w:rsid w:val="00166C1C"/>
    <w:rsid w:val="00166EEE"/>
    <w:rsid w:val="00182760"/>
    <w:rsid w:val="001931A9"/>
    <w:rsid w:val="001C3C52"/>
    <w:rsid w:val="001D2CDC"/>
    <w:rsid w:val="001D5A98"/>
    <w:rsid w:val="001E209C"/>
    <w:rsid w:val="001F06B1"/>
    <w:rsid w:val="001F73E4"/>
    <w:rsid w:val="00203A7C"/>
    <w:rsid w:val="00220565"/>
    <w:rsid w:val="002662F8"/>
    <w:rsid w:val="00291424"/>
    <w:rsid w:val="002A323A"/>
    <w:rsid w:val="002A7A67"/>
    <w:rsid w:val="002E2E64"/>
    <w:rsid w:val="00317C26"/>
    <w:rsid w:val="00352C37"/>
    <w:rsid w:val="00380B63"/>
    <w:rsid w:val="00391288"/>
    <w:rsid w:val="003E0C1A"/>
    <w:rsid w:val="003F2A85"/>
    <w:rsid w:val="00403F2A"/>
    <w:rsid w:val="00405448"/>
    <w:rsid w:val="004108A9"/>
    <w:rsid w:val="00415F30"/>
    <w:rsid w:val="00420D2C"/>
    <w:rsid w:val="0043129A"/>
    <w:rsid w:val="004329F3"/>
    <w:rsid w:val="004457AC"/>
    <w:rsid w:val="00475399"/>
    <w:rsid w:val="00486BF1"/>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4A6"/>
    <w:rsid w:val="00635F77"/>
    <w:rsid w:val="006461A3"/>
    <w:rsid w:val="006669BC"/>
    <w:rsid w:val="00673F35"/>
    <w:rsid w:val="006B5746"/>
    <w:rsid w:val="006C1BC8"/>
    <w:rsid w:val="006C7662"/>
    <w:rsid w:val="006D55D2"/>
    <w:rsid w:val="006F7FDC"/>
    <w:rsid w:val="007074CA"/>
    <w:rsid w:val="00714857"/>
    <w:rsid w:val="007207DB"/>
    <w:rsid w:val="007279EE"/>
    <w:rsid w:val="00736BC4"/>
    <w:rsid w:val="0074729F"/>
    <w:rsid w:val="00775CC5"/>
    <w:rsid w:val="007824BB"/>
    <w:rsid w:val="00784F5A"/>
    <w:rsid w:val="007A55CC"/>
    <w:rsid w:val="007D5164"/>
    <w:rsid w:val="007E1CB1"/>
    <w:rsid w:val="00814AB5"/>
    <w:rsid w:val="0081590E"/>
    <w:rsid w:val="00827C87"/>
    <w:rsid w:val="00836B56"/>
    <w:rsid w:val="00863F4C"/>
    <w:rsid w:val="0087422B"/>
    <w:rsid w:val="00884752"/>
    <w:rsid w:val="008B7CE6"/>
    <w:rsid w:val="008C1B7C"/>
    <w:rsid w:val="00901E8D"/>
    <w:rsid w:val="00917392"/>
    <w:rsid w:val="00930371"/>
    <w:rsid w:val="009360C4"/>
    <w:rsid w:val="0099169E"/>
    <w:rsid w:val="009B1C73"/>
    <w:rsid w:val="009B5D80"/>
    <w:rsid w:val="009B6BFF"/>
    <w:rsid w:val="009E2F61"/>
    <w:rsid w:val="00A033A6"/>
    <w:rsid w:val="00A26150"/>
    <w:rsid w:val="00A31712"/>
    <w:rsid w:val="00A31CDB"/>
    <w:rsid w:val="00A3572E"/>
    <w:rsid w:val="00A41988"/>
    <w:rsid w:val="00A4461C"/>
    <w:rsid w:val="00A62245"/>
    <w:rsid w:val="00A669D8"/>
    <w:rsid w:val="00A83C37"/>
    <w:rsid w:val="00A90AF5"/>
    <w:rsid w:val="00A92FF6"/>
    <w:rsid w:val="00AD3CE3"/>
    <w:rsid w:val="00AD4095"/>
    <w:rsid w:val="00AE452A"/>
    <w:rsid w:val="00B01BFA"/>
    <w:rsid w:val="00B267D0"/>
    <w:rsid w:val="00B33C4D"/>
    <w:rsid w:val="00B440EA"/>
    <w:rsid w:val="00B51AA9"/>
    <w:rsid w:val="00B61C2C"/>
    <w:rsid w:val="00B773DE"/>
    <w:rsid w:val="00BB04B0"/>
    <w:rsid w:val="00BB6CFC"/>
    <w:rsid w:val="00BC3D5E"/>
    <w:rsid w:val="00BC7224"/>
    <w:rsid w:val="00BD04BD"/>
    <w:rsid w:val="00BE224B"/>
    <w:rsid w:val="00C2354C"/>
    <w:rsid w:val="00C6642C"/>
    <w:rsid w:val="00C74C6C"/>
    <w:rsid w:val="00C7659F"/>
    <w:rsid w:val="00C846C2"/>
    <w:rsid w:val="00C9302E"/>
    <w:rsid w:val="00C93795"/>
    <w:rsid w:val="00CC0936"/>
    <w:rsid w:val="00CC37FF"/>
    <w:rsid w:val="00CC57AF"/>
    <w:rsid w:val="00CD0D50"/>
    <w:rsid w:val="00CE18DB"/>
    <w:rsid w:val="00D32F0F"/>
    <w:rsid w:val="00D35268"/>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62D1C"/>
    <w:rsid w:val="00F7447D"/>
    <w:rsid w:val="00F762BE"/>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2225"/>
    <o:shapelayout v:ext="edit">
      <o:idmap v:ext="edit" data="1"/>
    </o:shapelayout>
  </w:shapeDefaults>
  <w:decimalSymbol w:val="."/>
  <w:listSeparator w:val=","/>
  <w14:docId w14:val="22A52E28"/>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3276</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2</cp:revision>
  <cp:lastPrinted>2020-01-02T22:51:00Z</cp:lastPrinted>
  <dcterms:created xsi:type="dcterms:W3CDTF">2021-02-21T03:30:00Z</dcterms:created>
  <dcterms:modified xsi:type="dcterms:W3CDTF">2021-02-21T03:30:00Z</dcterms:modified>
</cp:coreProperties>
</file>