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612C0" w:rsidP="005E2671">
      <w:pPr>
        <w:jc w:val="center"/>
        <w:rPr>
          <w:b/>
          <w:bCs/>
          <w:sz w:val="48"/>
        </w:rPr>
      </w:pPr>
      <w:r>
        <w:rPr>
          <w:b/>
          <w:bCs/>
          <w:sz w:val="48"/>
        </w:rPr>
        <w:t>Relief Associations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 hereby prescribe the form and scope of the Minnesota Legal Compliance Audit Guide for </w:t>
      </w:r>
      <w:r w:rsidR="007612C0">
        <w:t>Relief Associations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7612C0" w:rsidP="00321DBB">
            <w:r>
              <w:t>Relief Associations,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7612C0" w:rsidP="007612C0">
            <w:r>
              <w:t>Depositories of Public Funds and Public Investments,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282739" w:rsidP="00321DBB">
            <w:r>
              <w:t>Example</w:t>
            </w:r>
            <w:r w:rsidR="007612C0">
              <w:t xml:space="preserve"> o</w:t>
            </w:r>
            <w:r w:rsidR="007612C0" w:rsidRPr="00B3668D">
              <w:t xml:space="preserve">f Independent </w:t>
            </w:r>
            <w:r>
              <w:t>Auditor’s Report</w:t>
            </w:r>
            <w:r w:rsidR="007612C0">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7612C0">
        <w:rPr>
          <w:bCs/>
        </w:rPr>
        <w:t>relief associations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A87D3F"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9099A"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7612C0">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7612C0">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7612C0">
        <w:trPr>
          <w:cantSplit/>
        </w:trPr>
        <w:tc>
          <w:tcPr>
            <w:tcW w:w="8040" w:type="dxa"/>
            <w:gridSpan w:val="3"/>
          </w:tcPr>
          <w:p w:rsidR="005E2671" w:rsidRPr="009D0495"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9D0495">
              <w:rPr>
                <w:color w:val="1329CF"/>
              </w:rPr>
              <w:t>Introduction</w:t>
            </w:r>
          </w:p>
        </w:tc>
        <w:tc>
          <w:tcPr>
            <w:tcW w:w="240" w:type="dxa"/>
          </w:tcPr>
          <w:p w:rsidR="005E2671" w:rsidRPr="009D0495"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9D0495"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9D0495">
              <w:rPr>
                <w:color w:val="1329CF"/>
              </w:rPr>
              <w:t>i</w:t>
            </w:r>
            <w:proofErr w:type="spellEnd"/>
            <w:r w:rsidRPr="009D0495">
              <w:rPr>
                <w:color w:val="1329CF"/>
              </w:rPr>
              <w:t xml:space="preserve"> </w:t>
            </w:r>
          </w:p>
        </w:tc>
      </w:tr>
      <w:tr w:rsidR="00E86F08" w:rsidRPr="002230B7" w:rsidTr="00E86F08">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9D0495"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9D0495"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2230B7" w:rsidTr="00E86F08">
        <w:trPr>
          <w:trHeight w:val="216"/>
        </w:trPr>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1.</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Relief Associations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1-1</w:t>
            </w:r>
          </w:p>
        </w:tc>
      </w:tr>
      <w:tr w:rsidR="00E86F08" w:rsidRPr="002230B7" w:rsidTr="00E86F08">
        <w:trPr>
          <w:trHeight w:val="216"/>
        </w:trPr>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2.</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Depositories of Public Funds and Public Investments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2-1</w:t>
            </w:r>
          </w:p>
        </w:tc>
      </w:tr>
      <w:tr w:rsidR="00E86F08" w:rsidRPr="002230B7" w:rsidTr="00E86F08">
        <w:trPr>
          <w:trHeight w:val="216"/>
        </w:trPr>
        <w:tc>
          <w:tcPr>
            <w:tcW w:w="480" w:type="dxa"/>
          </w:tcPr>
          <w:p w:rsidR="00E86F08" w:rsidRPr="009D0495" w:rsidRDefault="007612C0" w:rsidP="001D0571">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 w:right="72" w:firstLine="30"/>
              <w:jc w:val="right"/>
            </w:pPr>
            <w:r w:rsidRPr="009D0495">
              <w:t>3.</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DE52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Example</w:t>
            </w:r>
            <w:r w:rsidR="00B3668D" w:rsidRPr="0004592C">
              <w:rPr>
                <w:color w:val="1329CF"/>
              </w:rPr>
              <w:t xml:space="preserve"> of Independent Auditor’s Report</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E86F08" w:rsidRPr="0004592C">
              <w:rPr>
                <w:color w:val="1329CF"/>
              </w:rPr>
              <w:t>-1</w:t>
            </w:r>
          </w:p>
        </w:tc>
      </w:tr>
      <w:tr w:rsidR="00E86F08" w:rsidRPr="002230B7" w:rsidTr="00E86F08">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 xml:space="preserve">  -  Relief Associations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highlight w:val="yellow"/>
              </w:rPr>
            </w:pPr>
          </w:p>
        </w:tc>
        <w:tc>
          <w:tcPr>
            <w:tcW w:w="710" w:type="dxa"/>
          </w:tcPr>
          <w:p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082667" w:rsidRPr="0004592C">
              <w:rPr>
                <w:color w:val="1329CF"/>
              </w:rPr>
              <w:t>-</w:t>
            </w:r>
            <w:r w:rsidR="00A4014E" w:rsidRPr="0004592C">
              <w:rPr>
                <w:color w:val="1329CF"/>
              </w:rPr>
              <w:t>2</w:t>
            </w:r>
          </w:p>
        </w:tc>
      </w:tr>
    </w:tbl>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in consultation with representatives from the Attorney General’s Office, towns, cities, counties, school districts, and private sector public accountants.  The purpose of </w:t>
      </w:r>
      <w:r w:rsidR="00BB0438">
        <w:t xml:space="preserve">this Guide is to </w:t>
      </w:r>
      <w:r>
        <w:t>establish minimum compliance guidelines for verification by auditors enga</w:t>
      </w:r>
      <w:r w:rsidR="00BB0438">
        <w:t xml:space="preserve">ged </w:t>
      </w:r>
      <w:r w:rsidR="009B53D9">
        <w:t xml:space="preserve">in the process of auditing </w:t>
      </w:r>
      <w:r w:rsidR="00BB0438">
        <w:t>relief associations</w:t>
      </w:r>
      <w:r>
        <w:t xml:space="preserve"> of the state.</w:t>
      </w:r>
    </w:p>
    <w:p w:rsidR="00CF094B" w:rsidRDefault="00CF094B">
      <w:pPr>
        <w:widowControl w:val="0"/>
        <w:jc w:val="both"/>
      </w:pPr>
    </w:p>
    <w:p w:rsidR="00CF094B" w:rsidRDefault="00CF094B">
      <w:pPr>
        <w:widowControl w:val="0"/>
        <w:jc w:val="both"/>
      </w:pPr>
      <w:r>
        <w:t xml:space="preserve">This guide is divided into specific sections and presented in checklist form to assist the auditor of government units in the verification of statutory compliance.  The guide is not meant to be a complete compilation of all laws affecting </w:t>
      </w:r>
      <w:r w:rsidR="00BB0438">
        <w:t>relief associations</w:t>
      </w:r>
      <w:r>
        <w:t xml:space="preserve"> or a complete analysis of the laws cited throughout.  The checklist is meant to act as a reference guide regarding minimum legal compliance, and auditors must examine, in addition to applicable laws cited in the guide, those laws creating, granting power to, and restricting the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282739">
      <w:pPr>
        <w:widowControl w:val="0"/>
        <w:jc w:val="both"/>
      </w:pPr>
      <w:r>
        <w:t>Chapter 3</w:t>
      </w:r>
      <w:r w:rsidR="00CF094B">
        <w:t xml:space="preserve"> contains </w:t>
      </w:r>
      <w:r>
        <w:t>a model report t</w:t>
      </w:r>
      <w:r w:rsidR="00CF094B">
        <w:t>o be completed by the auditor following his or her completion of the appropriate compliance sections.</w:t>
      </w:r>
    </w:p>
    <w:p w:rsidR="00CF094B" w:rsidRDefault="00CF094B">
      <w:pPr>
        <w:widowControl w:val="0"/>
        <w:jc w:val="both"/>
      </w:pPr>
    </w:p>
    <w:p w:rsidR="00CF094B" w:rsidRDefault="00282739">
      <w:pPr>
        <w:widowControl w:val="0"/>
        <w:jc w:val="both"/>
      </w:pPr>
      <w:r>
        <w:t>The report or the language from the report</w:t>
      </w:r>
      <w:r w:rsidR="00CF094B">
        <w:t xml:space="preserve">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466198" w:rsidRDefault="00CF094B" w:rsidP="000E0518">
      <w:pPr>
        <w:widowControl w:val="0"/>
        <w:jc w:val="both"/>
      </w:pPr>
      <w:r>
        <w:t xml:space="preserve">Auditing for legal compliance will require a review of the minutes of the </w:t>
      </w:r>
      <w:r w:rsidR="00BB0438">
        <w:t xml:space="preserve">board of trustees.  </w:t>
      </w:r>
    </w:p>
    <w:p w:rsidR="00BB0438" w:rsidRDefault="00BB0438" w:rsidP="000E0518">
      <w:pPr>
        <w:widowControl w:val="0"/>
        <w:jc w:val="both"/>
      </w:pPr>
    </w:p>
    <w:p w:rsidR="00BB0438" w:rsidRDefault="00BB0438" w:rsidP="000E0518">
      <w:pPr>
        <w:widowControl w:val="0"/>
        <w:jc w:val="both"/>
      </w:pPr>
    </w:p>
    <w:p w:rsidR="00BB0438" w:rsidRDefault="00BB043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521E82" w:rsidRDefault="00A85B93" w:rsidP="00A85B93">
      <w:pPr>
        <w:widowControl w:val="0"/>
        <w:tabs>
          <w:tab w:val="center" w:pos="5040"/>
        </w:tabs>
      </w:pPr>
      <w:r>
        <w:tab/>
      </w: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3B333C" w:rsidRDefault="003B333C" w:rsidP="00521E82">
      <w:pPr>
        <w:widowControl w:val="0"/>
        <w:tabs>
          <w:tab w:val="center" w:pos="5040"/>
        </w:tabs>
        <w:jc w:val="center"/>
      </w:pPr>
      <w:proofErr w:type="spellStart"/>
      <w:r>
        <w:t>i</w:t>
      </w:r>
      <w:proofErr w:type="spellEnd"/>
    </w:p>
    <w:p w:rsidR="00CF094B" w:rsidRDefault="003B333C">
      <w:pPr>
        <w:widowControl w:val="0"/>
        <w:jc w:val="both"/>
      </w:pPr>
      <w:r>
        <w:br w:type="page"/>
      </w:r>
      <w:r w:rsidR="00BB0438">
        <w:lastRenderedPageBreak/>
        <w:t xml:space="preserve">A relief association’s board of trustees must comply with the Minnesota Open Meeting Law, Minn. Stat., </w:t>
      </w:r>
      <w:proofErr w:type="spellStart"/>
      <w:r w:rsidR="00BB0438">
        <w:t>ch.</w:t>
      </w:r>
      <w:proofErr w:type="spellEnd"/>
      <w:r w:rsidR="00BB0438">
        <w:t xml:space="preserve"> 13</w:t>
      </w:r>
      <w:r w:rsidR="00A13819">
        <w:fldChar w:fldCharType="begin"/>
      </w:r>
      <w:r w:rsidR="00A13819">
        <w:instrText xml:space="preserve"> XE "</w:instrText>
      </w:r>
      <w:r w:rsidR="00A13819" w:rsidRPr="00763C21">
        <w:instrText>13</w:instrText>
      </w:r>
      <w:r w:rsidR="00A13819">
        <w:instrText xml:space="preserve">" </w:instrText>
      </w:r>
      <w:r w:rsidR="00A13819">
        <w:fldChar w:fldCharType="end"/>
      </w:r>
      <w:r w:rsidR="00BB0438">
        <w:t xml:space="preserve">.  Pursuant to </w:t>
      </w:r>
      <w:r w:rsidR="00CF094B">
        <w:t>Minn. Stat. § 13D.01</w:t>
      </w:r>
      <w:r w:rsidR="00A13819">
        <w:fldChar w:fldCharType="begin"/>
      </w:r>
      <w:r w:rsidR="00A13819">
        <w:instrText xml:space="preserve"> XE "</w:instrText>
      </w:r>
      <w:r w:rsidR="00A13819" w:rsidRPr="00891C23">
        <w:instrText>13D.01</w:instrText>
      </w:r>
      <w:r w:rsidR="00A13819">
        <w:instrText xml:space="preserve">" </w:instrText>
      </w:r>
      <w:r w:rsidR="00A13819">
        <w:fldChar w:fldCharType="end"/>
      </w:r>
      <w:r w:rsidR="00CF094B">
        <w:t xml:space="preserve">, </w:t>
      </w:r>
      <w:proofErr w:type="spellStart"/>
      <w:r w:rsidR="00CF094B">
        <w:t>subd</w:t>
      </w:r>
      <w:proofErr w:type="spellEnd"/>
      <w:r w:rsidR="00CF094B">
        <w:t xml:space="preserve">. 4:  </w:t>
      </w:r>
    </w:p>
    <w:p w:rsidR="00CF094B" w:rsidRDefault="00CF094B">
      <w:pPr>
        <w:widowControl w:val="0"/>
        <w:jc w:val="both"/>
      </w:pPr>
    </w:p>
    <w:p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E97774">
        <w:t>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5 states, “[t]he journal</w:t>
      </w:r>
      <w:r w:rsidR="00E97774">
        <w:t xml:space="preserve"> 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B87F0A">
        <w:fldChar w:fldCharType="begin"/>
      </w:r>
      <w:r w:rsidR="00B87F0A">
        <w:instrText xml:space="preserve"> XE "</w:instrText>
      </w:r>
      <w:r w:rsidR="00B87F0A" w:rsidRPr="002704F7">
        <w:instrText>Op. Atty. Gen. 851-C</w:instrText>
      </w:r>
      <w:r w:rsidR="00B87F0A">
        <w:instrText xml:space="preserve">" </w:instrText>
      </w:r>
      <w:r w:rsidR="00B87F0A">
        <w:fldChar w:fldCharType="end"/>
      </w:r>
      <w:r>
        <w:t>, March 5, 1992.  For example, the board’s reasons for reaching a particular decision could be crucial in defending a challenge to the action taken.  The inclusion of such information may be deemed appropriate under other circumstances</w:t>
      </w:r>
      <w:r w:rsidR="00FF4D0A">
        <w:t xml:space="preserve"> as well.  </w:t>
      </w:r>
    </w:p>
    <w:p w:rsidR="00FF4D0A" w:rsidRDefault="00FF4D0A" w:rsidP="00FF4D0A">
      <w:pPr>
        <w:widowControl w:val="0"/>
        <w:jc w:val="both"/>
      </w:pPr>
    </w:p>
    <w:p w:rsidR="00FF4D0A" w:rsidRDefault="00FF4D0A" w:rsidP="00FF4D0A">
      <w:pPr>
        <w:widowControl w:val="0"/>
        <w:jc w:val="both"/>
      </w:pPr>
      <w:r>
        <w:rPr>
          <w:u w:val="single"/>
        </w:rPr>
        <w:t>DESTRUCTION OF RECORDS</w:t>
      </w:r>
    </w:p>
    <w:p w:rsidR="00FF4D0A" w:rsidRDefault="00FF4D0A" w:rsidP="00FF4D0A">
      <w:pPr>
        <w:widowControl w:val="0"/>
        <w:jc w:val="both"/>
      </w:pPr>
    </w:p>
    <w:p w:rsidR="00FF4D0A" w:rsidRDefault="00FF4D0A" w:rsidP="00FF4D0A">
      <w:pPr>
        <w:widowControl w:val="0"/>
        <w:jc w:val="both"/>
      </w:pPr>
    </w:p>
    <w:p w:rsidR="00FF4D0A" w:rsidRPr="00FF4D0A" w:rsidRDefault="00FF4D0A" w:rsidP="00FF4D0A">
      <w:pPr>
        <w:widowControl w:val="0"/>
        <w:jc w:val="both"/>
      </w:pPr>
      <w:r w:rsidRPr="00FF4D0A">
        <w:t xml:space="preserve">Unless a </w:t>
      </w:r>
      <w:r w:rsidR="00217C09">
        <w:t>Minnesota public entity</w:t>
      </w:r>
      <w:r w:rsidRPr="00FF4D0A">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rsidR="00FF4D0A" w:rsidRPr="00FF4D0A" w:rsidRDefault="00FF4D0A" w:rsidP="00FF4D0A">
      <w:pPr>
        <w:widowControl w:val="0"/>
        <w:jc w:val="both"/>
      </w:pPr>
    </w:p>
    <w:p w:rsidR="00FF4D0A" w:rsidRPr="00FF4D0A" w:rsidRDefault="00FF4D0A" w:rsidP="00FF4D0A">
      <w:pPr>
        <w:widowControl w:val="0"/>
        <w:jc w:val="both"/>
      </w:pPr>
      <w:r w:rsidRPr="00FF4D0A">
        <w:t xml:space="preserve">A </w:t>
      </w:r>
      <w:r w:rsidR="00217C09">
        <w:t>relief association</w:t>
      </w:r>
      <w:r w:rsidRPr="00FF4D0A">
        <w:t xml:space="preserve"> that wishes to adopt the appropriate General Records Retention Schedule can find information on the </w:t>
      </w:r>
      <w:hyperlink r:id="rId11" w:history="1">
        <w:r w:rsidRPr="00FF4D0A">
          <w:rPr>
            <w:rStyle w:val="Hyperlink"/>
          </w:rPr>
          <w:t>State Archives website</w:t>
        </w:r>
      </w:hyperlink>
      <w:r w:rsidRPr="00FF4D0A">
        <w:t>.</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FF4D0A" w:rsidRDefault="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Pr="00FF4D0A" w:rsidRDefault="00CF094B" w:rsidP="00521E8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left"/>
        <w:rPr>
          <w:rFonts w:ascii="Times New Roman" w:hAnsi="Times New Roman"/>
        </w:rPr>
      </w:pPr>
      <w:r w:rsidRPr="00FF4D0A">
        <w:rPr>
          <w:rFonts w:ascii="Times New Roman" w:hAnsi="Times New Roman"/>
        </w:rPr>
        <w:lastRenderedPageBreak/>
        <w:t>For information and assistance in disposing of or transferring government records, contact:</w:t>
      </w:r>
    </w:p>
    <w:p w:rsidR="0026192C" w:rsidRPr="00FF4D0A" w:rsidRDefault="0026192C" w:rsidP="00A85B93">
      <w:pPr>
        <w:widowControl w:val="0"/>
        <w:jc w:val="both"/>
      </w:pPr>
    </w:p>
    <w:p w:rsidR="00CF094B" w:rsidRPr="00FF4D0A" w:rsidRDefault="00CF094B">
      <w:pPr>
        <w:widowControl w:val="0"/>
        <w:jc w:val="center"/>
      </w:pPr>
      <w:r w:rsidRPr="00FF4D0A">
        <w:t>Minnesota Historical Society</w:t>
      </w:r>
    </w:p>
    <w:p w:rsidR="00CF094B" w:rsidRPr="00FF4D0A" w:rsidRDefault="00CF094B">
      <w:pPr>
        <w:widowControl w:val="0"/>
        <w:jc w:val="center"/>
      </w:pPr>
      <w:r w:rsidRPr="00FF4D0A">
        <w:t>State Archives Department</w:t>
      </w:r>
    </w:p>
    <w:p w:rsidR="00CF094B" w:rsidRPr="00FF4D0A" w:rsidRDefault="00CF094B">
      <w:pPr>
        <w:widowControl w:val="0"/>
        <w:jc w:val="center"/>
      </w:pPr>
      <w:smartTag w:uri="urn:schemas-microsoft-com:office:smarttags" w:element="Street">
        <w:smartTag w:uri="urn:schemas-microsoft-com:office:smarttags" w:element="address">
          <w:r w:rsidRPr="00FF4D0A">
            <w:t>345 Kellogg Boulevard West</w:t>
          </w:r>
        </w:smartTag>
      </w:smartTag>
    </w:p>
    <w:p w:rsidR="00CF094B" w:rsidRPr="00FF4D0A" w:rsidRDefault="00CF094B">
      <w:pPr>
        <w:widowControl w:val="0"/>
        <w:jc w:val="center"/>
      </w:pPr>
      <w:smartTag w:uri="urn:schemas-microsoft-com:office:smarttags" w:element="place">
        <w:smartTag w:uri="urn:schemas-microsoft-com:office:smarttags" w:element="City">
          <w:r w:rsidRPr="00FF4D0A">
            <w:t>St. Paul</w:t>
          </w:r>
        </w:smartTag>
        <w:r w:rsidRPr="00FF4D0A">
          <w:t xml:space="preserve">, </w:t>
        </w:r>
        <w:smartTag w:uri="urn:schemas-microsoft-com:office:smarttags" w:element="State">
          <w:r w:rsidRPr="00FF4D0A">
            <w:t>Minnesota</w:t>
          </w:r>
        </w:smartTag>
        <w:r w:rsidRPr="00FF4D0A">
          <w:t xml:space="preserve">  </w:t>
        </w:r>
        <w:smartTag w:uri="urn:schemas-microsoft-com:office:smarttags" w:element="PostalCode">
          <w:r w:rsidRPr="00FF4D0A">
            <w:t>55102-1906</w:t>
          </w:r>
        </w:smartTag>
      </w:smartTag>
    </w:p>
    <w:p w:rsidR="00CF094B" w:rsidRPr="00FF4D0A" w:rsidRDefault="00CF094B">
      <w:pPr>
        <w:widowControl w:val="0"/>
        <w:jc w:val="center"/>
      </w:pPr>
      <w:r w:rsidRPr="00FF4D0A">
        <w:t>(651) 2</w:t>
      </w:r>
      <w:r w:rsidR="000E0518" w:rsidRPr="00FF4D0A">
        <w:t>59</w:t>
      </w:r>
      <w:r w:rsidRPr="00FF4D0A">
        <w:t>-</w:t>
      </w:r>
      <w:r w:rsidR="000E0518" w:rsidRPr="00FF4D0A">
        <w:t>3260</w:t>
      </w:r>
    </w:p>
    <w:p w:rsidR="005D7BC2" w:rsidRPr="00FF4D0A" w:rsidRDefault="009D4099">
      <w:pPr>
        <w:widowControl w:val="0"/>
        <w:jc w:val="center"/>
      </w:pPr>
      <w:hyperlink r:id="rId12" w:history="1">
        <w:r w:rsidR="005D7BC2" w:rsidRPr="00FF4D0A">
          <w:rPr>
            <w:rStyle w:val="Hyperlink"/>
          </w:rPr>
          <w:t>http://www.mnhs.org/preserve/records/index.htm</w:t>
        </w:r>
      </w:hyperlink>
    </w:p>
    <w:p w:rsidR="009248E4" w:rsidRPr="00FF4D0A" w:rsidRDefault="009248E4" w:rsidP="009248E4">
      <w:pPr>
        <w:widowControl w:val="0"/>
        <w:ind w:left="-360" w:right="-720"/>
        <w:jc w:val="both"/>
      </w:pPr>
    </w:p>
    <w:p w:rsidR="009248E4" w:rsidRPr="00FF4D0A" w:rsidRDefault="009248E4" w:rsidP="00A85B93">
      <w:pPr>
        <w:widowControl w:val="0"/>
        <w:ind w:right="-720"/>
        <w:jc w:val="both"/>
      </w:pPr>
      <w:r w:rsidRPr="00FF4D0A">
        <w:t>Questions about the Minnesota Government Data Practices Act should be directed to:</w:t>
      </w:r>
    </w:p>
    <w:p w:rsidR="009248E4" w:rsidRDefault="009248E4" w:rsidP="009248E4">
      <w:pPr>
        <w:widowControl w:val="0"/>
        <w:jc w:val="both"/>
      </w:pPr>
    </w:p>
    <w:p w:rsidR="009D4099" w:rsidRDefault="009D4099" w:rsidP="009D4099">
      <w:pPr>
        <w:widowControl w:val="0"/>
        <w:jc w:val="center"/>
      </w:pPr>
      <w:r>
        <w:t>Minnesota Department of Administration</w:t>
      </w:r>
    </w:p>
    <w:p w:rsidR="009D4099" w:rsidRDefault="009D4099" w:rsidP="009D4099">
      <w:pPr>
        <w:widowControl w:val="0"/>
        <w:jc w:val="center"/>
      </w:pPr>
      <w:r>
        <w:t>Data Practices Office</w:t>
      </w:r>
    </w:p>
    <w:p w:rsidR="009D4099" w:rsidRDefault="009D4099" w:rsidP="009D4099">
      <w:pPr>
        <w:widowControl w:val="0"/>
        <w:jc w:val="center"/>
      </w:pPr>
      <w:r>
        <w:t>320 Centennial Office Building</w:t>
      </w:r>
    </w:p>
    <w:p w:rsidR="009D4099" w:rsidRDefault="009D4099" w:rsidP="009D4099">
      <w:pPr>
        <w:widowControl w:val="0"/>
        <w:jc w:val="center"/>
      </w:pPr>
      <w:r>
        <w:t>658 Cedar Street</w:t>
      </w:r>
    </w:p>
    <w:p w:rsidR="009D4099" w:rsidRDefault="009D4099" w:rsidP="009D4099">
      <w:pPr>
        <w:widowControl w:val="0"/>
        <w:jc w:val="center"/>
      </w:pPr>
      <w:r>
        <w:t xml:space="preserve">St. Paul, </w:t>
      </w:r>
      <w:proofErr w:type="gramStart"/>
      <w:r>
        <w:t>Minnesota  55155</w:t>
      </w:r>
      <w:proofErr w:type="gramEnd"/>
    </w:p>
    <w:p w:rsidR="009D4099" w:rsidRDefault="009D4099" w:rsidP="009D4099">
      <w:pPr>
        <w:widowControl w:val="0"/>
        <w:jc w:val="center"/>
      </w:pPr>
      <w:r>
        <w:t>(651) 296-6733</w:t>
      </w:r>
    </w:p>
    <w:p w:rsidR="009D4099" w:rsidRDefault="009D4099" w:rsidP="009D4099">
      <w:pPr>
        <w:widowControl w:val="0"/>
        <w:jc w:val="center"/>
      </w:pPr>
      <w:hyperlink r:id="rId13" w:history="1">
        <w:r w:rsidRPr="00A73EAC">
          <w:rPr>
            <w:rStyle w:val="Hyperlink"/>
          </w:rPr>
          <w:t>https://mn.gov/admin/data-practices/</w:t>
        </w:r>
      </w:hyperlink>
    </w:p>
    <w:p w:rsidR="009D4099" w:rsidRDefault="009D4099" w:rsidP="009D4099">
      <w:pPr>
        <w:widowControl w:val="0"/>
        <w:jc w:val="both"/>
      </w:pPr>
    </w:p>
    <w:p w:rsidR="00CF094B" w:rsidRDefault="00CF094B">
      <w:pPr>
        <w:widowControl w:val="0"/>
        <w:jc w:val="both"/>
      </w:pPr>
      <w:r>
        <w:t xml:space="preserve">In future years, the </w:t>
      </w:r>
      <w:r>
        <w:rPr>
          <w:i/>
        </w:rPr>
        <w:t xml:space="preserve">Minnesota Legal Compliance Audit Guide for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9D4099">
      <w:pPr>
        <w:widowControl w:val="0"/>
        <w:jc w:val="center"/>
      </w:pPr>
      <w:hyperlink r:id="rId14" w:history="1">
        <w:r w:rsidR="0055144F" w:rsidRPr="00801024">
          <w:rPr>
            <w:rStyle w:val="Hyperlink"/>
          </w:rPr>
          <w:t>http://www.</w:t>
        </w:r>
        <w:r w:rsidR="00F81241">
          <w:rPr>
            <w:rStyle w:val="Hyperlink"/>
          </w:rPr>
          <w:t>osa</w:t>
        </w:r>
        <w:r w:rsidR="0055144F" w:rsidRPr="00801024">
          <w:rPr>
            <w:rStyle w:val="Hyperlink"/>
          </w:rPr>
          <w:t>.state.mn.us</w:t>
        </w:r>
      </w:hyperlink>
    </w:p>
    <w:p w:rsidR="00161EA2" w:rsidRDefault="00161EA2" w:rsidP="005E2671"/>
    <w:p w:rsidR="00466198" w:rsidRDefault="00466198"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9D4099" w:rsidRDefault="009D4099" w:rsidP="005E2671"/>
    <w:p w:rsidR="00FF4D0A" w:rsidRDefault="00FF4D0A" w:rsidP="005E2671"/>
    <w:p w:rsidR="00FF4D0A" w:rsidRDefault="00FF4D0A" w:rsidP="005E2671"/>
    <w:p w:rsidR="00466198" w:rsidRDefault="00466198" w:rsidP="005E2671"/>
    <w:p w:rsidR="00521E82" w:rsidRDefault="00A85B93" w:rsidP="00A85B93">
      <w:pPr>
        <w:tabs>
          <w:tab w:val="center" w:pos="5040"/>
        </w:tabs>
      </w:pPr>
      <w:r>
        <w:tab/>
      </w:r>
    </w:p>
    <w:p w:rsidR="00521E82" w:rsidRDefault="00521E82" w:rsidP="00A85B93">
      <w:pPr>
        <w:tabs>
          <w:tab w:val="center" w:pos="5040"/>
        </w:tabs>
      </w:pPr>
    </w:p>
    <w:p w:rsidR="00521E82" w:rsidRDefault="00521E82" w:rsidP="00A85B93">
      <w:pPr>
        <w:tabs>
          <w:tab w:val="center" w:pos="5040"/>
        </w:tabs>
      </w:pPr>
    </w:p>
    <w:p w:rsidR="002C1213" w:rsidRDefault="002C1213" w:rsidP="00A85B93">
      <w:pPr>
        <w:tabs>
          <w:tab w:val="center" w:pos="5040"/>
        </w:tabs>
      </w:pPr>
    </w:p>
    <w:p w:rsidR="00466198" w:rsidRDefault="00A85B93" w:rsidP="00521E82">
      <w:pPr>
        <w:tabs>
          <w:tab w:val="center" w:pos="5040"/>
        </w:tabs>
        <w:jc w:val="center"/>
      </w:pPr>
      <w:bookmarkStart w:id="1" w:name="_GoBack"/>
      <w:bookmarkEnd w:id="1"/>
      <w:r>
        <w:t>i</w:t>
      </w:r>
      <w:r w:rsidR="00294169">
        <w:t>ii</w:t>
      </w:r>
    </w:p>
    <w:sectPr w:rsidR="00466198" w:rsidSect="00521E8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FC" w:rsidRDefault="00CF27FC">
      <w:r>
        <w:separator/>
      </w:r>
    </w:p>
  </w:endnote>
  <w:endnote w:type="continuationSeparator" w:id="0">
    <w:p w:rsidR="00CF27FC" w:rsidRDefault="00C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FE7E50" w:rsidP="00283E10">
    <w:pPr>
      <w:pStyle w:val="Footer"/>
      <w:tabs>
        <w:tab w:val="clear" w:pos="4320"/>
        <w:tab w:val="clear" w:pos="8640"/>
        <w:tab w:val="center" w:pos="5040"/>
      </w:tabs>
      <w:rPr>
        <w:rFonts w:ascii="Times New Roman" w:hAnsi="Times New Roman"/>
      </w:rPr>
    </w:pPr>
    <w:r>
      <w:rPr>
        <w:rFonts w:ascii="Times New Roman" w:hAnsi="Times New Roman"/>
      </w:rPr>
      <w:t>0</w:t>
    </w:r>
    <w:r w:rsidR="001D0571">
      <w:rPr>
        <w:rFonts w:ascii="Times New Roman" w:hAnsi="Times New Roman"/>
      </w:rPr>
      <w:t>2</w:t>
    </w:r>
    <w:r w:rsidR="00BC31F2">
      <w:rPr>
        <w:rFonts w:ascii="Times New Roman" w:hAnsi="Times New Roman"/>
      </w:rPr>
      <w:t>/20</w:t>
    </w:r>
    <w:r w:rsidR="001D0571">
      <w:rPr>
        <w:rFonts w:ascii="Times New Roman" w:hAnsi="Times New Roman"/>
      </w:rPr>
      <w:t>2</w:t>
    </w:r>
    <w:r w:rsidR="00E97774">
      <w:rPr>
        <w:rFonts w:ascii="Times New Roman" w:hAnsi="Times New Roman"/>
      </w:rPr>
      <w:t>2</w:t>
    </w:r>
    <w:r w:rsidR="009B53D9">
      <w:rPr>
        <w:rFonts w:ascii="Times New Roman" w:hAnsi="Times New Roman"/>
      </w:rPr>
      <w:t xml:space="preserve">     Relief Associations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FC" w:rsidRDefault="00CF27FC">
      <w:r>
        <w:separator/>
      </w:r>
    </w:p>
  </w:footnote>
  <w:footnote w:type="continuationSeparator" w:id="0">
    <w:p w:rsidR="00CF27FC" w:rsidRDefault="00CF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592C"/>
    <w:rsid w:val="00046534"/>
    <w:rsid w:val="00082667"/>
    <w:rsid w:val="000B12D2"/>
    <w:rsid w:val="000D20B5"/>
    <w:rsid w:val="000D353B"/>
    <w:rsid w:val="000D47B7"/>
    <w:rsid w:val="000E0518"/>
    <w:rsid w:val="000E3860"/>
    <w:rsid w:val="000E3C44"/>
    <w:rsid w:val="000E6C20"/>
    <w:rsid w:val="000F5217"/>
    <w:rsid w:val="00140481"/>
    <w:rsid w:val="00147D68"/>
    <w:rsid w:val="00153ACF"/>
    <w:rsid w:val="0015671A"/>
    <w:rsid w:val="00156A46"/>
    <w:rsid w:val="00161EA2"/>
    <w:rsid w:val="001632E0"/>
    <w:rsid w:val="00175894"/>
    <w:rsid w:val="001C7E44"/>
    <w:rsid w:val="001D0571"/>
    <w:rsid w:val="001E4C16"/>
    <w:rsid w:val="00217780"/>
    <w:rsid w:val="00217C09"/>
    <w:rsid w:val="002230B7"/>
    <w:rsid w:val="0023690C"/>
    <w:rsid w:val="002431F8"/>
    <w:rsid w:val="0026192C"/>
    <w:rsid w:val="002743A3"/>
    <w:rsid w:val="00282739"/>
    <w:rsid w:val="00283E10"/>
    <w:rsid w:val="002927A4"/>
    <w:rsid w:val="00294169"/>
    <w:rsid w:val="002B4309"/>
    <w:rsid w:val="002B68E2"/>
    <w:rsid w:val="002C1213"/>
    <w:rsid w:val="002D43D2"/>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633E5"/>
    <w:rsid w:val="00466198"/>
    <w:rsid w:val="00484320"/>
    <w:rsid w:val="00487390"/>
    <w:rsid w:val="004A4EB0"/>
    <w:rsid w:val="004B2F97"/>
    <w:rsid w:val="004B5A7B"/>
    <w:rsid w:val="004D3064"/>
    <w:rsid w:val="004D4B05"/>
    <w:rsid w:val="00521E82"/>
    <w:rsid w:val="0055144F"/>
    <w:rsid w:val="00585710"/>
    <w:rsid w:val="0059099A"/>
    <w:rsid w:val="00591E92"/>
    <w:rsid w:val="005A70A3"/>
    <w:rsid w:val="005C1E03"/>
    <w:rsid w:val="005D273E"/>
    <w:rsid w:val="005D7BC2"/>
    <w:rsid w:val="005E2671"/>
    <w:rsid w:val="005E5CAA"/>
    <w:rsid w:val="005F2373"/>
    <w:rsid w:val="005F4577"/>
    <w:rsid w:val="00633516"/>
    <w:rsid w:val="00635FB4"/>
    <w:rsid w:val="006B29D4"/>
    <w:rsid w:val="00713257"/>
    <w:rsid w:val="007204E4"/>
    <w:rsid w:val="00730B62"/>
    <w:rsid w:val="007612C0"/>
    <w:rsid w:val="007A2A32"/>
    <w:rsid w:val="007B4F83"/>
    <w:rsid w:val="007C3ECD"/>
    <w:rsid w:val="007D37BB"/>
    <w:rsid w:val="007D5180"/>
    <w:rsid w:val="007F4BBA"/>
    <w:rsid w:val="00801024"/>
    <w:rsid w:val="008202EC"/>
    <w:rsid w:val="00830707"/>
    <w:rsid w:val="0084456F"/>
    <w:rsid w:val="00845782"/>
    <w:rsid w:val="00876631"/>
    <w:rsid w:val="00893FC2"/>
    <w:rsid w:val="008D0611"/>
    <w:rsid w:val="008D13E9"/>
    <w:rsid w:val="008F7E98"/>
    <w:rsid w:val="009147CF"/>
    <w:rsid w:val="00921208"/>
    <w:rsid w:val="009248E4"/>
    <w:rsid w:val="009474CD"/>
    <w:rsid w:val="009509F1"/>
    <w:rsid w:val="00950EC2"/>
    <w:rsid w:val="0096636B"/>
    <w:rsid w:val="00966A91"/>
    <w:rsid w:val="00971460"/>
    <w:rsid w:val="009B4443"/>
    <w:rsid w:val="009B53D9"/>
    <w:rsid w:val="009D0495"/>
    <w:rsid w:val="009D4099"/>
    <w:rsid w:val="00A04061"/>
    <w:rsid w:val="00A13819"/>
    <w:rsid w:val="00A21B9E"/>
    <w:rsid w:val="00A242CB"/>
    <w:rsid w:val="00A36753"/>
    <w:rsid w:val="00A4014E"/>
    <w:rsid w:val="00A61425"/>
    <w:rsid w:val="00A85B93"/>
    <w:rsid w:val="00A87D3F"/>
    <w:rsid w:val="00AB423A"/>
    <w:rsid w:val="00AD4E07"/>
    <w:rsid w:val="00AE2355"/>
    <w:rsid w:val="00AF6F43"/>
    <w:rsid w:val="00B132AC"/>
    <w:rsid w:val="00B361B6"/>
    <w:rsid w:val="00B3668D"/>
    <w:rsid w:val="00B37B9C"/>
    <w:rsid w:val="00B70787"/>
    <w:rsid w:val="00B82EF8"/>
    <w:rsid w:val="00B87F0A"/>
    <w:rsid w:val="00BA0284"/>
    <w:rsid w:val="00BB0438"/>
    <w:rsid w:val="00BB0D56"/>
    <w:rsid w:val="00BC31F2"/>
    <w:rsid w:val="00BD7D1F"/>
    <w:rsid w:val="00BE0C3B"/>
    <w:rsid w:val="00C31CFA"/>
    <w:rsid w:val="00C8422D"/>
    <w:rsid w:val="00C93971"/>
    <w:rsid w:val="00CA0281"/>
    <w:rsid w:val="00CF094B"/>
    <w:rsid w:val="00CF27FC"/>
    <w:rsid w:val="00D3278F"/>
    <w:rsid w:val="00D55211"/>
    <w:rsid w:val="00D75286"/>
    <w:rsid w:val="00D86BC2"/>
    <w:rsid w:val="00DB4FBF"/>
    <w:rsid w:val="00DE4197"/>
    <w:rsid w:val="00DE5236"/>
    <w:rsid w:val="00DF1C1E"/>
    <w:rsid w:val="00E307AC"/>
    <w:rsid w:val="00E50985"/>
    <w:rsid w:val="00E72CAF"/>
    <w:rsid w:val="00E86F08"/>
    <w:rsid w:val="00E97774"/>
    <w:rsid w:val="00EA3C19"/>
    <w:rsid w:val="00F05A36"/>
    <w:rsid w:val="00F10C59"/>
    <w:rsid w:val="00F1752F"/>
    <w:rsid w:val="00F3280C"/>
    <w:rsid w:val="00F35348"/>
    <w:rsid w:val="00F51606"/>
    <w:rsid w:val="00F55C1F"/>
    <w:rsid w:val="00F81241"/>
    <w:rsid w:val="00F847DA"/>
    <w:rsid w:val="00F9508D"/>
    <w:rsid w:val="00F96F6E"/>
    <w:rsid w:val="00FB7664"/>
    <w:rsid w:val="00FC59C4"/>
    <w:rsid w:val="00FE777E"/>
    <w:rsid w:val="00FE7E50"/>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E276A5A"/>
  <w15:chartTrackingRefBased/>
  <w15:docId w15:val="{2B358EA4-D14B-4FF1-90C2-ADD3719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FCC5-D089-41EF-8E0E-FE7FF26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7001</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4</cp:revision>
  <cp:lastPrinted>2022-03-03T18:18:00Z</cp:lastPrinted>
  <dcterms:created xsi:type="dcterms:W3CDTF">2022-02-03T17:24:00Z</dcterms:created>
  <dcterms:modified xsi:type="dcterms:W3CDTF">2022-03-03T18:19:00Z</dcterms:modified>
</cp:coreProperties>
</file>