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E6794" w:rsidP="005E2671">
      <w:pPr>
        <w:jc w:val="center"/>
        <w:rPr>
          <w:b/>
          <w:bCs/>
          <w:sz w:val="48"/>
        </w:rPr>
      </w:pPr>
      <w:r>
        <w:rPr>
          <w:b/>
          <w:bCs/>
          <w:sz w:val="48"/>
        </w:rPr>
        <w:t>Charter Schools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F42FE6" w:rsidP="00A16AC9">
            <w:r>
              <w:t xml:space="preserve">Page </w:t>
            </w:r>
            <w:r w:rsidR="00A010C9">
              <w:t>1</w:t>
            </w:r>
            <w:r w:rsidR="005E2671">
              <w:t>-1</w:t>
            </w:r>
          </w:p>
        </w:tc>
        <w:tc>
          <w:tcPr>
            <w:tcW w:w="6120" w:type="dxa"/>
          </w:tcPr>
          <w:p w:rsidR="005E2671" w:rsidRDefault="00A16AC9" w:rsidP="00F42FE6">
            <w:r>
              <w:t>Charter Schools</w:t>
            </w:r>
          </w:p>
        </w:tc>
      </w:tr>
      <w:tr w:rsidR="005E2671" w:rsidTr="00321DBB">
        <w:tc>
          <w:tcPr>
            <w:tcW w:w="2640" w:type="dxa"/>
          </w:tcPr>
          <w:p w:rsidR="005E2671" w:rsidRDefault="005E2671" w:rsidP="00321DBB"/>
        </w:tc>
        <w:tc>
          <w:tcPr>
            <w:tcW w:w="6120" w:type="dxa"/>
          </w:tcPr>
          <w:p w:rsidR="005E2671" w:rsidRDefault="005E2671" w:rsidP="00321DBB"/>
        </w:tc>
      </w:tr>
      <w:tr w:rsidR="00434C24" w:rsidTr="00434C24">
        <w:tc>
          <w:tcPr>
            <w:tcW w:w="2640" w:type="dxa"/>
          </w:tcPr>
          <w:p w:rsidR="00434C24" w:rsidRDefault="00434C24" w:rsidP="00BE7B14">
            <w:r>
              <w:t>Page 2-1</w:t>
            </w:r>
          </w:p>
        </w:tc>
        <w:tc>
          <w:tcPr>
            <w:tcW w:w="6120" w:type="dxa"/>
          </w:tcPr>
          <w:p w:rsidR="00434C24" w:rsidRDefault="00434C24" w:rsidP="00BE7B14">
            <w:r>
              <w:t>Uniform Financial Accounting and Reporting Standards</w:t>
            </w:r>
          </w:p>
          <w:p w:rsidR="00434C24" w:rsidRDefault="00434C24" w:rsidP="00BE7B14">
            <w:r>
              <w:t>(UFARS) for Minnesota School Districts and Charter</w:t>
            </w:r>
          </w:p>
          <w:p w:rsidR="00434C24" w:rsidRDefault="00434C24" w:rsidP="00BE7B14">
            <w:r>
              <w:t>Schools</w:t>
            </w:r>
          </w:p>
        </w:tc>
      </w:tr>
      <w:tr w:rsidR="00434C24" w:rsidTr="00434C24">
        <w:tc>
          <w:tcPr>
            <w:tcW w:w="2640" w:type="dxa"/>
          </w:tcPr>
          <w:p w:rsidR="00434C24" w:rsidRDefault="00434C24" w:rsidP="00BE7B14"/>
        </w:tc>
        <w:tc>
          <w:tcPr>
            <w:tcW w:w="6120" w:type="dxa"/>
          </w:tcPr>
          <w:p w:rsidR="00434C24" w:rsidRDefault="00434C24" w:rsidP="00BE7B14"/>
        </w:tc>
      </w:tr>
      <w:tr w:rsidR="005E2671" w:rsidTr="00321DBB">
        <w:tc>
          <w:tcPr>
            <w:tcW w:w="2640" w:type="dxa"/>
          </w:tcPr>
          <w:p w:rsidR="005E2671" w:rsidRDefault="00F42FE6" w:rsidP="00A16AC9">
            <w:r>
              <w:t xml:space="preserve">Page </w:t>
            </w:r>
            <w:r w:rsidR="00A16AC9">
              <w:t>3</w:t>
            </w:r>
            <w:r w:rsidR="005E2671">
              <w:t>-1</w:t>
            </w:r>
          </w:p>
        </w:tc>
        <w:tc>
          <w:tcPr>
            <w:tcW w:w="6120" w:type="dxa"/>
          </w:tcPr>
          <w:p w:rsidR="005E2671" w:rsidRDefault="00A16AC9" w:rsidP="00A16AC9">
            <w:r>
              <w:t>Examples of Independent Auditor’s Reports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12534A"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906A5F"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A16AC9">
        <w:trPr>
          <w:cantSplit/>
        </w:trPr>
        <w:tc>
          <w:tcPr>
            <w:tcW w:w="8040" w:type="dxa"/>
            <w:gridSpan w:val="3"/>
          </w:tcPr>
          <w:p w:rsidR="005E2671" w:rsidRPr="001555B0"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1555B0">
              <w:rPr>
                <w:color w:val="1129CF"/>
              </w:rPr>
              <w:t>Introduction</w:t>
            </w:r>
          </w:p>
        </w:tc>
        <w:tc>
          <w:tcPr>
            <w:tcW w:w="240" w:type="dxa"/>
          </w:tcPr>
          <w:p w:rsidR="005E2671" w:rsidRPr="001555B0"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rsidR="005E2671" w:rsidRPr="001555B0"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1555B0">
              <w:rPr>
                <w:color w:val="1129CF"/>
              </w:rPr>
              <w:t>i</w:t>
            </w:r>
            <w:proofErr w:type="spellEnd"/>
            <w:r w:rsidRPr="001555B0">
              <w:rPr>
                <w:color w:val="1129CF"/>
              </w:rPr>
              <w:t xml:space="preserve">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rsidTr="00E86F08">
        <w:trPr>
          <w:trHeight w:val="216"/>
        </w:trPr>
        <w:tc>
          <w:tcPr>
            <w:tcW w:w="480" w:type="dxa"/>
          </w:tcPr>
          <w:p w:rsidR="00E86F08" w:rsidRPr="006657ED"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1.</w:t>
            </w:r>
          </w:p>
        </w:tc>
        <w:tc>
          <w:tcPr>
            <w:tcW w:w="240" w:type="dxa"/>
          </w:tcPr>
          <w:p w:rsidR="00E86F08" w:rsidRPr="006657ED"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657ED"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Charter Schools</w:t>
            </w:r>
          </w:p>
        </w:tc>
        <w:tc>
          <w:tcPr>
            <w:tcW w:w="240" w:type="dxa"/>
          </w:tcPr>
          <w:p w:rsidR="00E86F08" w:rsidRPr="006657ED"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657ED"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1</w:t>
            </w:r>
            <w:r w:rsidR="00E86F08" w:rsidRPr="006657ED">
              <w:rPr>
                <w:color w:val="1329CF"/>
              </w:rPr>
              <w:t>-1</w:t>
            </w:r>
          </w:p>
        </w:tc>
      </w:tr>
      <w:tr w:rsidR="00A37E8A" w:rsidRPr="00A37E8A" w:rsidTr="00891F35">
        <w:tc>
          <w:tcPr>
            <w:tcW w:w="48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2.</w:t>
            </w:r>
          </w:p>
        </w:tc>
        <w:tc>
          <w:tcPr>
            <w:tcW w:w="24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A16AC9" w:rsidRPr="006657ED" w:rsidRDefault="00A16AC9" w:rsidP="00891F35">
            <w:pPr>
              <w:rPr>
                <w:color w:val="1329CF"/>
              </w:rPr>
            </w:pPr>
            <w:r w:rsidRPr="006657ED">
              <w:rPr>
                <w:color w:val="1329CF"/>
              </w:rPr>
              <w:t>Uniform Financial Accounting and Reporting Standards</w:t>
            </w:r>
          </w:p>
          <w:p w:rsidR="00A16AC9" w:rsidRPr="006657ED" w:rsidRDefault="00EA4147" w:rsidP="00891F35">
            <w:pPr>
              <w:rPr>
                <w:color w:val="1329CF"/>
              </w:rPr>
            </w:pPr>
            <w:r>
              <w:rPr>
                <w:color w:val="1329CF"/>
              </w:rPr>
              <w:t xml:space="preserve"> </w:t>
            </w:r>
            <w:r w:rsidR="00A16AC9" w:rsidRPr="006657ED">
              <w:rPr>
                <w:color w:val="1329CF"/>
              </w:rPr>
              <w:t>(UFARS) for Minnesota School Districts and Charter</w:t>
            </w:r>
          </w:p>
          <w:p w:rsidR="00A16AC9" w:rsidRPr="006657ED" w:rsidRDefault="00EA4147" w:rsidP="00891F35">
            <w:pPr>
              <w:rPr>
                <w:color w:val="1329CF"/>
              </w:rPr>
            </w:pPr>
            <w:r>
              <w:rPr>
                <w:color w:val="1329CF"/>
              </w:rPr>
              <w:t xml:space="preserve"> </w:t>
            </w:r>
            <w:r w:rsidR="00A16AC9" w:rsidRPr="006657ED">
              <w:rPr>
                <w:color w:val="1329CF"/>
              </w:rPr>
              <w:t>Schools</w:t>
            </w:r>
          </w:p>
        </w:tc>
        <w:tc>
          <w:tcPr>
            <w:tcW w:w="240" w:type="dxa"/>
          </w:tcPr>
          <w:p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2-1</w:t>
            </w:r>
          </w:p>
        </w:tc>
      </w:tr>
      <w:tr w:rsidR="00A37E8A" w:rsidRPr="00A37E8A" w:rsidTr="00891F35">
        <w:trPr>
          <w:trHeight w:val="216"/>
        </w:trPr>
        <w:tc>
          <w:tcPr>
            <w:tcW w:w="48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3.</w:t>
            </w:r>
          </w:p>
        </w:tc>
        <w:tc>
          <w:tcPr>
            <w:tcW w:w="24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Examples of Independent Auditor’s Reports</w:t>
            </w:r>
          </w:p>
        </w:tc>
        <w:tc>
          <w:tcPr>
            <w:tcW w:w="240" w:type="dxa"/>
          </w:tcPr>
          <w:p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A16AC9" w:rsidRPr="006657ED"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3-1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2B66F6" w:rsidRDefault="002B66F6">
      <w:pPr>
        <w:widowControl w:val="0"/>
        <w:jc w:val="both"/>
      </w:pPr>
    </w:p>
    <w:p w:rsidR="002B66F6" w:rsidRDefault="002B66F6">
      <w:pPr>
        <w:widowControl w:val="0"/>
        <w:jc w:val="both"/>
      </w:pPr>
    </w:p>
    <w:p w:rsidR="00E6755D" w:rsidRDefault="00E6755D">
      <w:pPr>
        <w:widowControl w:val="0"/>
        <w:jc w:val="both"/>
      </w:pPr>
    </w:p>
    <w:p w:rsidR="00E6755D" w:rsidRDefault="00E6755D">
      <w:pPr>
        <w:widowControl w:val="0"/>
        <w:jc w:val="both"/>
      </w:pPr>
    </w:p>
    <w:p w:rsidR="00E6755D" w:rsidRDefault="00E6755D" w:rsidP="00E6755D">
      <w:pPr>
        <w:widowControl w:val="0"/>
        <w:jc w:val="center"/>
      </w:pPr>
      <w:proofErr w:type="spellStart"/>
      <w:r>
        <w:t>i</w:t>
      </w:r>
      <w:proofErr w:type="spellEnd"/>
    </w:p>
    <w:p w:rsidR="00CF094B" w:rsidRDefault="00A16AC9">
      <w:pPr>
        <w:widowControl w:val="0"/>
        <w:jc w:val="both"/>
      </w:pPr>
      <w:r>
        <w:rPr>
          <w:u w:val="single"/>
        </w:rPr>
        <w:br w:type="page"/>
      </w:r>
      <w:r w:rsidR="00CF094B">
        <w:rPr>
          <w:u w:val="single"/>
        </w:rPr>
        <w:lastRenderedPageBreak/>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xml:space="preserve">, </w:t>
      </w:r>
      <w:proofErr w:type="spellStart"/>
      <w:r w:rsidR="00A16AC9">
        <w:t>subd</w:t>
      </w:r>
      <w:proofErr w:type="spellEnd"/>
      <w:r w:rsidR="00A16AC9">
        <w:t>. 4</w:t>
      </w:r>
      <w:r>
        <w:t xml:space="preserve">:  </w:t>
      </w:r>
    </w:p>
    <w:p w:rsidR="00CF094B" w:rsidRDefault="00CF094B">
      <w:pPr>
        <w:widowControl w:val="0"/>
        <w:jc w:val="both"/>
      </w:pPr>
    </w:p>
    <w:p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4532D9">
        <w:t>or minutes</w:t>
      </w:r>
      <w:r>
        <w:t xml:space="preserve"> .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w:t>
      </w:r>
      <w:r w:rsidR="004532D9">
        <w:t xml:space="preserve">or any minutes used to record votes of a meeting subject to this chapter </w:t>
      </w:r>
      <w:r>
        <w:t xml:space="preserve">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r w:rsidR="00A8760C">
        <w:instrText xml:space="preserve">" </w:instrText>
      </w:r>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xml:space="preserve">, </w:t>
      </w:r>
      <w:proofErr w:type="spellStart"/>
      <w:r w:rsidR="005E7EB6">
        <w:rPr>
          <w:rFonts w:ascii="Times New Roman" w:hAnsi="Times New Roman"/>
        </w:rPr>
        <w:t>subd</w:t>
      </w:r>
      <w:proofErr w:type="spellEnd"/>
      <w:r w:rsidR="005E7EB6">
        <w:rPr>
          <w:rFonts w:ascii="Times New Roman" w:hAnsi="Times New Roman"/>
        </w:rPr>
        <w:t>.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rsidR="00CF094B" w:rsidRDefault="00CF094B">
      <w:pPr>
        <w:widowControl w:val="0"/>
        <w:jc w:val="both"/>
      </w:pPr>
    </w:p>
    <w:p w:rsidR="00E6755D" w:rsidRDefault="00E6755D">
      <w:pPr>
        <w:widowControl w:val="0"/>
        <w:jc w:val="both"/>
      </w:pPr>
    </w:p>
    <w:p w:rsidR="00E6755D" w:rsidRPr="00F51345" w:rsidRDefault="00E6755D">
      <w:pPr>
        <w:widowControl w:val="0"/>
        <w:jc w:val="both"/>
      </w:pPr>
    </w:p>
    <w:p w:rsidR="00FC12D0" w:rsidRDefault="00FC12D0" w:rsidP="00F51345">
      <w:pPr>
        <w:widowControl w:val="0"/>
        <w:jc w:val="center"/>
      </w:pPr>
    </w:p>
    <w:p w:rsidR="00B80501" w:rsidRDefault="00B80501" w:rsidP="00F51345">
      <w:pPr>
        <w:widowControl w:val="0"/>
        <w:jc w:val="center"/>
      </w:pPr>
    </w:p>
    <w:p w:rsidR="00B80501" w:rsidRDefault="00B80501" w:rsidP="00F51345">
      <w:pPr>
        <w:widowControl w:val="0"/>
        <w:jc w:val="center"/>
      </w:pPr>
    </w:p>
    <w:p w:rsidR="00F51345" w:rsidRDefault="00F51345" w:rsidP="00F51345">
      <w:pPr>
        <w:widowControl w:val="0"/>
        <w:jc w:val="center"/>
      </w:pPr>
      <w:r>
        <w:t>ii</w:t>
      </w:r>
    </w:p>
    <w:p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1" w:history="1">
        <w:r w:rsidR="004952FF" w:rsidRPr="004952FF">
          <w:rPr>
            <w:rStyle w:val="Hyperlink"/>
          </w:rPr>
          <w:t>http://www.mnhs.org/preserve/records/retentionsched.php</w:t>
        </w:r>
      </w:hyperlink>
      <w:r w:rsidR="004952FF">
        <w:t>)</w:t>
      </w:r>
      <w:r w:rsidR="00E6755D">
        <w:t>.</w:t>
      </w:r>
    </w:p>
    <w:p w:rsidR="00E6755D" w:rsidRDefault="00E6755D"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A353CE">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A73EAC" w:rsidRDefault="00A73EAC" w:rsidP="009248E4">
      <w:pPr>
        <w:widowControl w:val="0"/>
        <w:jc w:val="center"/>
      </w:pPr>
      <w:r>
        <w:t>Data Practices Office</w:t>
      </w:r>
    </w:p>
    <w:p w:rsidR="009248E4" w:rsidRDefault="00A73EAC" w:rsidP="009248E4">
      <w:pPr>
        <w:widowControl w:val="0"/>
        <w:jc w:val="center"/>
      </w:pPr>
      <w:r>
        <w:t xml:space="preserve">320 Centennial Office </w:t>
      </w:r>
      <w:r w:rsidR="009248E4">
        <w:t>Building</w:t>
      </w:r>
    </w:p>
    <w:p w:rsidR="00A73EAC" w:rsidRDefault="00A73EAC" w:rsidP="009248E4">
      <w:pPr>
        <w:widowControl w:val="0"/>
        <w:jc w:val="center"/>
      </w:pPr>
      <w:r>
        <w:t>658 Cedar Street</w:t>
      </w:r>
    </w:p>
    <w:p w:rsidR="009248E4" w:rsidRDefault="009248E4" w:rsidP="009248E4">
      <w:pPr>
        <w:widowControl w:val="0"/>
        <w:jc w:val="center"/>
      </w:pPr>
      <w:r>
        <w:t xml:space="preserve">St. Paul, </w:t>
      </w:r>
      <w:proofErr w:type="gramStart"/>
      <w:r>
        <w:t>Minnesota  55155</w:t>
      </w:r>
      <w:proofErr w:type="gramEnd"/>
    </w:p>
    <w:p w:rsidR="009248E4" w:rsidRDefault="009248E4" w:rsidP="009248E4">
      <w:pPr>
        <w:widowControl w:val="0"/>
        <w:jc w:val="center"/>
      </w:pPr>
      <w:r>
        <w:t>(651) 296-6733</w:t>
      </w:r>
      <w:bookmarkStart w:id="1" w:name="_GoBack"/>
      <w:bookmarkEnd w:id="1"/>
    </w:p>
    <w:p w:rsidR="00A73EAC" w:rsidRDefault="00A353CE" w:rsidP="009248E4">
      <w:pPr>
        <w:widowControl w:val="0"/>
        <w:jc w:val="center"/>
      </w:pPr>
      <w:hyperlink r:id="rId13" w:history="1">
        <w:r w:rsidR="00A73EAC" w:rsidRPr="00A73EAC">
          <w:rPr>
            <w:rStyle w:val="Hyperlink"/>
          </w:rPr>
          <w:t>https://mn.gov/admin/data-practices/</w:t>
        </w:r>
      </w:hyperlink>
    </w:p>
    <w:p w:rsidR="00CF094B" w:rsidRDefault="00CF094B">
      <w:pPr>
        <w:widowControl w:val="0"/>
        <w:jc w:val="both"/>
      </w:pPr>
    </w:p>
    <w:p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A353CE">
      <w:pPr>
        <w:widowControl w:val="0"/>
        <w:jc w:val="center"/>
      </w:pPr>
      <w:hyperlink r:id="rId14" w:history="1">
        <w:r w:rsidR="004532D9">
          <w:rPr>
            <w:rStyle w:val="Hyperlink"/>
          </w:rPr>
          <w:t>http://www.osa</w:t>
        </w:r>
        <w:r w:rsidR="0055144F" w:rsidRPr="00801024">
          <w:rPr>
            <w:rStyle w:val="Hyperlink"/>
          </w:rPr>
          <w:t>.state.mn.us</w:t>
        </w:r>
      </w:hyperlink>
    </w:p>
    <w:p w:rsidR="00161EA2" w:rsidRDefault="00161EA2" w:rsidP="005E2671"/>
    <w:p w:rsidR="00466198" w:rsidRDefault="00466198" w:rsidP="005E2671"/>
    <w:p w:rsidR="00466198" w:rsidRDefault="00466198" w:rsidP="005E2671"/>
    <w:p w:rsidR="00FC12D0" w:rsidRDefault="00E6755D" w:rsidP="00A85B93">
      <w:pPr>
        <w:tabs>
          <w:tab w:val="center" w:pos="5040"/>
        </w:tabs>
      </w:pPr>
      <w:r>
        <w:tab/>
      </w: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B80501" w:rsidRDefault="00B80501" w:rsidP="00FC12D0">
      <w:pPr>
        <w:tabs>
          <w:tab w:val="center" w:pos="5040"/>
        </w:tabs>
        <w:jc w:val="center"/>
      </w:pPr>
    </w:p>
    <w:p w:rsidR="00B80501" w:rsidRDefault="00B80501" w:rsidP="00FC12D0">
      <w:pPr>
        <w:tabs>
          <w:tab w:val="center" w:pos="5040"/>
        </w:tabs>
        <w:jc w:val="center"/>
      </w:pPr>
    </w:p>
    <w:p w:rsidR="00A353CE" w:rsidRDefault="00A353CE" w:rsidP="00FC12D0">
      <w:pPr>
        <w:tabs>
          <w:tab w:val="center" w:pos="5040"/>
        </w:tabs>
        <w:jc w:val="center"/>
      </w:pPr>
    </w:p>
    <w:p w:rsidR="00466198" w:rsidRDefault="00E6755D" w:rsidP="00FC12D0">
      <w:pPr>
        <w:tabs>
          <w:tab w:val="center" w:pos="5040"/>
        </w:tabs>
        <w:jc w:val="center"/>
      </w:pPr>
      <w:r>
        <w:t>iii</w:t>
      </w:r>
    </w:p>
    <w:sectPr w:rsidR="00466198" w:rsidSect="00B80501">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F35" w:rsidRDefault="00891F35">
      <w:r>
        <w:separator/>
      </w:r>
    </w:p>
  </w:endnote>
  <w:endnote w:type="continuationSeparator" w:id="0">
    <w:p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DF622F" w:rsidP="00283E10">
    <w:pPr>
      <w:pStyle w:val="Footer"/>
      <w:tabs>
        <w:tab w:val="clear" w:pos="4320"/>
        <w:tab w:val="clear" w:pos="8640"/>
        <w:tab w:val="center" w:pos="5040"/>
      </w:tabs>
      <w:rPr>
        <w:rFonts w:ascii="Times New Roman" w:hAnsi="Times New Roman"/>
      </w:rPr>
    </w:pPr>
    <w:r>
      <w:rPr>
        <w:rFonts w:ascii="Times New Roman" w:hAnsi="Times New Roman"/>
      </w:rPr>
      <w:t>02</w:t>
    </w:r>
    <w:r w:rsidR="00BC31F2">
      <w:rPr>
        <w:rFonts w:ascii="Times New Roman" w:hAnsi="Times New Roman"/>
      </w:rPr>
      <w:t>/20</w:t>
    </w:r>
    <w:r>
      <w:rPr>
        <w:rFonts w:ascii="Times New Roman" w:hAnsi="Times New Roman"/>
      </w:rPr>
      <w:t>2</w:t>
    </w:r>
    <w:r w:rsidR="004532D9">
      <w:rPr>
        <w:rFonts w:ascii="Times New Roman" w:hAnsi="Times New Roman"/>
      </w:rPr>
      <w:t>2</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F35" w:rsidRDefault="00891F35">
      <w:r>
        <w:separator/>
      </w:r>
    </w:p>
  </w:footnote>
  <w:footnote w:type="continuationSeparator" w:id="0">
    <w:p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34992"/>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55B0"/>
    <w:rsid w:val="00156A46"/>
    <w:rsid w:val="00161EA2"/>
    <w:rsid w:val="0016232C"/>
    <w:rsid w:val="001632E0"/>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532D9"/>
    <w:rsid w:val="00466198"/>
    <w:rsid w:val="00484320"/>
    <w:rsid w:val="004952FF"/>
    <w:rsid w:val="004A4EB0"/>
    <w:rsid w:val="004B2F97"/>
    <w:rsid w:val="004D4B05"/>
    <w:rsid w:val="005302D0"/>
    <w:rsid w:val="0055144F"/>
    <w:rsid w:val="00585710"/>
    <w:rsid w:val="005A70A3"/>
    <w:rsid w:val="005C1E03"/>
    <w:rsid w:val="005D273E"/>
    <w:rsid w:val="005D7BC2"/>
    <w:rsid w:val="005E2671"/>
    <w:rsid w:val="005E5CAA"/>
    <w:rsid w:val="005E7EB6"/>
    <w:rsid w:val="005F2373"/>
    <w:rsid w:val="005F4577"/>
    <w:rsid w:val="00633516"/>
    <w:rsid w:val="006657ED"/>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06A5F"/>
    <w:rsid w:val="009147CF"/>
    <w:rsid w:val="00921208"/>
    <w:rsid w:val="009248E4"/>
    <w:rsid w:val="009474CD"/>
    <w:rsid w:val="009509F1"/>
    <w:rsid w:val="0096636B"/>
    <w:rsid w:val="00966A91"/>
    <w:rsid w:val="00971460"/>
    <w:rsid w:val="00A010C9"/>
    <w:rsid w:val="00A04061"/>
    <w:rsid w:val="00A16AC9"/>
    <w:rsid w:val="00A21B9E"/>
    <w:rsid w:val="00A242CB"/>
    <w:rsid w:val="00A353CE"/>
    <w:rsid w:val="00A36753"/>
    <w:rsid w:val="00A37E8A"/>
    <w:rsid w:val="00A50596"/>
    <w:rsid w:val="00A61425"/>
    <w:rsid w:val="00A73EAC"/>
    <w:rsid w:val="00A85B93"/>
    <w:rsid w:val="00A8760C"/>
    <w:rsid w:val="00AD4E07"/>
    <w:rsid w:val="00AE2355"/>
    <w:rsid w:val="00B132AC"/>
    <w:rsid w:val="00B361B6"/>
    <w:rsid w:val="00B3668D"/>
    <w:rsid w:val="00B70787"/>
    <w:rsid w:val="00B80501"/>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DF622F"/>
    <w:rsid w:val="00E02414"/>
    <w:rsid w:val="00E3128D"/>
    <w:rsid w:val="00E50985"/>
    <w:rsid w:val="00E6755D"/>
    <w:rsid w:val="00E72CAF"/>
    <w:rsid w:val="00E86F08"/>
    <w:rsid w:val="00EA3C19"/>
    <w:rsid w:val="00EA4147"/>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62465"/>
    <o:shapelayout v:ext="edit">
      <o:idmap v:ext="edit" data="1"/>
    </o:shapelayout>
  </w:shapeDefaults>
  <w:decimalSymbol w:val="."/>
  <w:listSeparator w:val=","/>
  <w14:docId w14:val="6FFBEDF4"/>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php"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C3C5-6CE0-4D75-AF4F-7DD4AA84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1064</Words>
  <Characters>6433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7483</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8</cp:revision>
  <cp:lastPrinted>2022-03-03T18:03:00Z</cp:lastPrinted>
  <dcterms:created xsi:type="dcterms:W3CDTF">2021-02-20T03:29:00Z</dcterms:created>
  <dcterms:modified xsi:type="dcterms:W3CDTF">2022-03-03T18:03:00Z</dcterms:modified>
</cp:coreProperties>
</file>