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4C" w:rsidRDefault="000C534C">
      <w:pPr>
        <w:pStyle w:val="Quick"/>
        <w:tabs>
          <w:tab w:val="left" w:pos="2160"/>
        </w:tabs>
      </w:pPr>
      <w:bookmarkStart w:id="0" w:name="QuickMark_1"/>
      <w:bookmarkStart w:id="1" w:name="_GoBack"/>
      <w:bookmarkEnd w:id="0"/>
      <w:bookmarkEnd w:id="1"/>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4F22D0" w:rsidRDefault="004F22D0">
      <w:pPr>
        <w:widowControl w:val="0"/>
        <w:spacing w:line="0" w:lineRule="atLeast"/>
        <w:sectPr w:rsidR="004F22D0" w:rsidSect="00B27531">
          <w:footerReference w:type="default" r:id="rId6"/>
          <w:pgSz w:w="12240" w:h="15840" w:code="1"/>
          <w:pgMar w:top="720" w:right="720" w:bottom="720" w:left="720" w:header="720" w:footer="720" w:gutter="0"/>
          <w:pgNumType w:start="0"/>
          <w:cols w:space="720"/>
          <w:titlePg/>
          <w:docGrid w:linePitch="326"/>
        </w:sectPr>
      </w:pPr>
    </w:p>
    <w:p w:rsidR="003515B1" w:rsidRPr="003515B1" w:rsidRDefault="003515B1" w:rsidP="003515B1">
      <w:pPr>
        <w:tabs>
          <w:tab w:val="left" w:pos="5040"/>
        </w:tabs>
        <w:jc w:val="both"/>
        <w:rPr>
          <w:sz w:val="8"/>
          <w:szCs w:val="8"/>
        </w:rPr>
      </w:pPr>
    </w:p>
    <w:tbl>
      <w:tblPr>
        <w:tblW w:w="10815" w:type="dxa"/>
        <w:tblInd w:w="108" w:type="dxa"/>
        <w:tblLayout w:type="fixed"/>
        <w:tblLook w:val="0000" w:firstRow="0" w:lastRow="0" w:firstColumn="0" w:lastColumn="0" w:noHBand="0" w:noVBand="0"/>
      </w:tblPr>
      <w:tblGrid>
        <w:gridCol w:w="1201"/>
        <w:gridCol w:w="588"/>
        <w:gridCol w:w="552"/>
        <w:gridCol w:w="399"/>
        <w:gridCol w:w="5903"/>
        <w:gridCol w:w="610"/>
        <w:gridCol w:w="501"/>
        <w:gridCol w:w="1061"/>
      </w:tblGrid>
      <w:tr w:rsidR="000E1CD7" w:rsidRPr="000E1CD7" w:rsidTr="00361220">
        <w:trPr>
          <w:cantSplit/>
          <w:trHeight w:val="174"/>
        </w:trPr>
        <w:tc>
          <w:tcPr>
            <w:tcW w:w="10815" w:type="dxa"/>
            <w:gridSpan w:val="8"/>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rsidR="000E1CD7" w:rsidRPr="000E1CD7" w:rsidRDefault="000E1CD7" w:rsidP="00C650CD">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 Salary and Per Diem Resolution</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Did the county board set the commissioners’ annual salaries and per diem schedule in a resolution before January 1 of the year in which the salary becomes effective,* and did the resolution contain a statement of the salary as an annual dollar amount?</w:t>
            </w:r>
          </w:p>
          <w:p w:rsidR="00361220" w:rsidRDefault="00361220">
            <w:pPr>
              <w:rPr>
                <w:sz w:val="20"/>
                <w:szCs w:val="20"/>
              </w:rPr>
            </w:pPr>
          </w:p>
          <w:p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county board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 Gen. 124a, April 28, 1994</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county board </w:t>
            </w:r>
            <w:r>
              <w:rPr>
                <w:rFonts w:ascii="Times New Roman" w:hAnsi="Times New Roman"/>
                <w:b w:val="0"/>
                <w:bCs/>
                <w:u w:val="single"/>
              </w:rPr>
              <w:t>not</w:t>
            </w:r>
            <w:r>
              <w:rPr>
                <w:rFonts w:ascii="Times New Roman" w:hAnsi="Times New Roman"/>
                <w:b w:val="0"/>
                <w:bCs/>
              </w:rPr>
              <w:t xml:space="preserve"> receive more than one per diem for any given day?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Were all county change funds established by a county board appropriation from the proper fund and were the change funds used only for the purpose of making change?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Imprest Cash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Payment of Claims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Were imprest cash funds created by the county board and did the county board appoint a custodian of each imprest fund;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was a claim itemizing all demands for which disbursements have been made from the fund presented to the county board at the next county board meeting after the month in which disbursements were made;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county board act upon each claim as in the case of other claims and was a warrant issued to the custodian;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roofErr w:type="gramStart"/>
            <w:r>
              <w:rPr>
                <w:rFonts w:ascii="Times New Roman" w:hAnsi="Times New Roman"/>
              </w:rPr>
              <w:t>did</w:t>
            </w:r>
            <w:proofErr w:type="gramEnd"/>
            <w:r>
              <w:rPr>
                <w:rFonts w:ascii="Times New Roman" w:hAnsi="Times New Roman"/>
              </w:rPr>
              <w:t xml:space="preserve"> the custodian use the proceeds of the warrant to replenish the fund, and if the county board failed to approve the claim in full for any sufficient reason, was the custodian held personally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Travel</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imprest cash funds authorized by the county board for the purpose of advancing money to officers or employees to pay their actual and necessary expenses in attending meetings outside the county or for other job-related travel;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county board appoint a custodian to be responsible for its safekeeping and disbursement according to the law;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361220" w:rsidRDefault="00361220"/>
    <w:p w:rsidR="00361220" w:rsidRDefault="00361220"/>
    <w:p w:rsidR="00361220" w:rsidRDefault="00361220"/>
    <w:tbl>
      <w:tblPr>
        <w:tblW w:w="10815" w:type="dxa"/>
        <w:tblInd w:w="108" w:type="dxa"/>
        <w:tblLayout w:type="fixed"/>
        <w:tblLook w:val="04A0" w:firstRow="1" w:lastRow="0" w:firstColumn="1" w:lastColumn="0" w:noHBand="0" w:noVBand="1"/>
      </w:tblPr>
      <w:tblGrid>
        <w:gridCol w:w="1171"/>
        <w:gridCol w:w="618"/>
        <w:gridCol w:w="552"/>
        <w:gridCol w:w="399"/>
        <w:gridCol w:w="5903"/>
        <w:gridCol w:w="610"/>
        <w:gridCol w:w="501"/>
        <w:gridCol w:w="1061"/>
      </w:tblGrid>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was attendance at meetings and other travel outside the county authorized in advance by the county board;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officer submit an itemized claim for the actual and necessary expenses incurred and paid related to the approved travel at a meeting of the county board in the month after approved travel outside the county;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county board act upon it as in the case of other claims and was a warrant issued to the officer or employee for the amount allowed;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roofErr w:type="gramStart"/>
            <w:r>
              <w:rPr>
                <w:rFonts w:ascii="Times New Roman" w:hAnsi="Times New Roman"/>
              </w:rPr>
              <w:t>did</w:t>
            </w:r>
            <w:proofErr w:type="gramEnd"/>
            <w:r>
              <w:rPr>
                <w:rFonts w:ascii="Times New Roman" w:hAnsi="Times New Roman"/>
              </w:rPr>
              <w:t xml:space="preserve"> the officer or employee use the proceeds of the warrant to repay the amount advanced from the fund and if the amount approved by the county board was insufficient to repay the advance, was the officer or employee held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375.12</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61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County Board Minutes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p>
        </w:tc>
        <w:tc>
          <w:tcPr>
            <w:tcW w:w="61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p>
        </w:tc>
        <w:tc>
          <w:tcPr>
            <w:tcW w:w="61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board annually, not later than the first Tuesday after the first Monday in March, make a full and accurate statement of the receipts and expenditures of the preceding year under the form and style prescribed by and on file with the State Auditor?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361220" w:rsidRDefault="00361220"/>
    <w:p w:rsidR="00361220" w:rsidRDefault="00361220">
      <w:r>
        <w:br w:type="page"/>
      </w:r>
    </w:p>
    <w:p w:rsidR="00361220" w:rsidRDefault="00361220"/>
    <w:tbl>
      <w:tblPr>
        <w:tblW w:w="10815" w:type="dxa"/>
        <w:tblInd w:w="108" w:type="dxa"/>
        <w:tblLayout w:type="fixed"/>
        <w:tblLook w:val="04A0" w:firstRow="1" w:lastRow="0" w:firstColumn="1" w:lastColumn="0" w:noHBand="0" w:noVBand="1"/>
      </w:tblPr>
      <w:tblGrid>
        <w:gridCol w:w="1147"/>
        <w:gridCol w:w="24"/>
        <w:gridCol w:w="467"/>
        <w:gridCol w:w="151"/>
        <w:gridCol w:w="401"/>
        <w:gridCol w:w="151"/>
        <w:gridCol w:w="248"/>
        <w:gridCol w:w="151"/>
        <w:gridCol w:w="5877"/>
        <w:gridCol w:w="26"/>
        <w:gridCol w:w="584"/>
        <w:gridCol w:w="26"/>
        <w:gridCol w:w="475"/>
        <w:gridCol w:w="26"/>
        <w:gridCol w:w="1035"/>
        <w:gridCol w:w="26"/>
      </w:tblGrid>
      <w:tr w:rsidR="00361220" w:rsidTr="00361220">
        <w:trPr>
          <w:cantSplit/>
          <w:trHeight w:val="174"/>
        </w:trPr>
        <w:tc>
          <w:tcPr>
            <w:tcW w:w="117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board elected to publish the full statement, did it publish either: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592"/>
        </w:trPr>
        <w:tc>
          <w:tcPr>
            <w:tcW w:w="117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an itemized account of amounts paid out, to whom and for what purpose; </w:t>
            </w:r>
            <w:r>
              <w:rPr>
                <w:sz w:val="20"/>
                <w:szCs w:val="20"/>
                <w:u w:val="single"/>
              </w:rPr>
              <w: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cantSplit/>
          <w:trHeight w:val="174"/>
        </w:trPr>
        <w:tc>
          <w:tcPr>
            <w:tcW w:w="117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if</w:t>
            </w:r>
            <w:proofErr w:type="gramEnd"/>
            <w:r>
              <w:rPr>
                <w:sz w:val="20"/>
                <w:szCs w:val="20"/>
              </w:rPr>
              <w:t xml:space="preserve"> the published proceedings of the county board contained an itemized account of amounts paid out, to whom, and for what purpose, a schedule of major disbursements containing all disbursements aggregating $5,000 or more to any person, amounts paid out, to whom, and for what purpose?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385.29</w:t>
            </w:r>
          </w:p>
        </w:tc>
        <w:tc>
          <w:tcPr>
            <w:tcW w:w="491" w:type="dxa"/>
            <w:gridSpan w:val="2"/>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G.</w:t>
            </w: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p>
        </w:tc>
        <w:tc>
          <w:tcPr>
            <w:tcW w:w="491" w:type="dxa"/>
            <w:gridSpan w:val="2"/>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H.</w:t>
            </w: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p>
        </w:tc>
        <w:tc>
          <w:tcPr>
            <w:tcW w:w="491" w:type="dxa"/>
            <w:gridSpan w:val="2"/>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I.</w:t>
            </w: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did</w:t>
            </w:r>
            <w:proofErr w:type="gramEnd"/>
            <w:r>
              <w:rPr>
                <w:sz w:val="20"/>
                <w:szCs w:val="20"/>
              </w:rPr>
              <w:t xml:space="preserve"> the notice identify the parcel, instruct the payer how to claim the overpayment, and advise that the overpayment is subject to forfeiture?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After w:val="1"/>
          <w:wAfter w:w="26" w:type="dxa"/>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361220" w:rsidRDefault="00361220"/>
    <w:p w:rsidR="00361220" w:rsidRDefault="00361220"/>
    <w:p w:rsidR="00361220" w:rsidRDefault="00361220"/>
    <w:tbl>
      <w:tblPr>
        <w:tblW w:w="10838" w:type="dxa"/>
        <w:tblInd w:w="85" w:type="dxa"/>
        <w:tblLayout w:type="fixed"/>
        <w:tblLook w:val="04A0" w:firstRow="1" w:lastRow="0" w:firstColumn="1" w:lastColumn="0" w:noHBand="0" w:noVBand="1"/>
      </w:tblPr>
      <w:tblGrid>
        <w:gridCol w:w="23"/>
        <w:gridCol w:w="1274"/>
        <w:gridCol w:w="24"/>
        <w:gridCol w:w="467"/>
        <w:gridCol w:w="24"/>
        <w:gridCol w:w="528"/>
        <w:gridCol w:w="24"/>
        <w:gridCol w:w="375"/>
        <w:gridCol w:w="24"/>
        <w:gridCol w:w="5877"/>
        <w:gridCol w:w="26"/>
        <w:gridCol w:w="584"/>
        <w:gridCol w:w="26"/>
        <w:gridCol w:w="475"/>
        <w:gridCol w:w="26"/>
        <w:gridCol w:w="1035"/>
        <w:gridCol w:w="26"/>
      </w:tblGrid>
      <w:tr w:rsidR="00361220" w:rsidTr="00361220">
        <w:trPr>
          <w:gridBefore w:val="1"/>
          <w:wBefore w:w="23" w:type="dxa"/>
          <w:cantSplit/>
          <w:trHeight w:val="174"/>
        </w:trPr>
        <w:tc>
          <w:tcPr>
            <w:tcW w:w="1298"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a</w:t>
            </w:r>
            <w:proofErr w:type="gramEnd"/>
            <w:r>
              <w:rPr>
                <w:sz w:val="20"/>
                <w:szCs w:val="20"/>
              </w:rPr>
              <w:t xml:space="preserve"> statement that information concerning the amount of overpayment and affected property may be obtained from the county auditor at the address given in the notice?</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61220">
        <w:trPr>
          <w:gridBefore w:val="1"/>
          <w:wBefore w:w="23" w:type="dxa"/>
          <w:cantSplit/>
          <w:trHeight w:val="174"/>
        </w:trPr>
        <w:tc>
          <w:tcPr>
            <w:tcW w:w="1298"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If the person entitled to the refund failed to claim the overpayment within 90 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103E.651</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Auditor keep a separate account for each drainage system; 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sidRPr="000E1CD7">
              <w:rPr>
                <w:sz w:val="20"/>
                <w:szCs w:val="20"/>
              </w:rPr>
              <w:t>was</w:t>
            </w:r>
            <w:proofErr w:type="gramEnd"/>
            <w:r w:rsidRPr="000E1CD7">
              <w:rPr>
                <w:sz w:val="20"/>
                <w:szCs w:val="20"/>
              </w:rPr>
              <w:t xml:space="preserve"> the account debited with every item of expense made for the drainage system?</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sidRPr="000E1CD7">
              <w:rPr>
                <w:sz w:val="20"/>
                <w:szCs w:val="20"/>
              </w:rPr>
              <w:t>was</w:t>
            </w:r>
            <w:proofErr w:type="gramEnd"/>
            <w:r w:rsidRPr="000E1CD7">
              <w:rPr>
                <w:sz w:val="20"/>
                <w:szCs w:val="20"/>
              </w:rPr>
              <w:t xml:space="preserve"> the money plus interest reimbursed from the proceeds of the drainage system that received the transfer, and was the interest computed for the time the money was actually needed at the same rate charged on drainage liens and assessments?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361220">
        <w:tblPrEx>
          <w:tblLook w:val="0000" w:firstRow="0" w:lastRow="0" w:firstColumn="0" w:lastColumn="0" w:noHBand="0" w:noVBand="0"/>
        </w:tblPrEx>
        <w:trPr>
          <w:gridAfter w:val="1"/>
          <w:wAfter w:w="26" w:type="dxa"/>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361220" w:rsidRDefault="00361220"/>
    <w:p w:rsidR="00361220" w:rsidRDefault="00361220">
      <w:r>
        <w:br w:type="page"/>
      </w:r>
    </w:p>
    <w:p w:rsidR="00361220" w:rsidRDefault="00361220"/>
    <w:tbl>
      <w:tblPr>
        <w:tblW w:w="10812" w:type="dxa"/>
        <w:tblInd w:w="-5" w:type="dxa"/>
        <w:tblLayout w:type="fixed"/>
        <w:tblLook w:val="0000" w:firstRow="0" w:lastRow="0" w:firstColumn="0" w:lastColumn="0" w:noHBand="0" w:noVBand="0"/>
      </w:tblPr>
      <w:tblGrid>
        <w:gridCol w:w="1297"/>
        <w:gridCol w:w="491"/>
        <w:gridCol w:w="552"/>
        <w:gridCol w:w="6300"/>
        <w:gridCol w:w="610"/>
        <w:gridCol w:w="501"/>
        <w:gridCol w:w="1061"/>
      </w:tblGrid>
      <w:tr w:rsidR="00361220" w:rsidRPr="000E1CD7" w:rsidTr="001D4537">
        <w:trPr>
          <w:cantSplit/>
          <w:trHeight w:val="174"/>
        </w:trPr>
        <w:tc>
          <w:tcPr>
            <w:tcW w:w="1297" w:type="dxa"/>
            <w:tcBorders>
              <w:top w:val="single" w:sz="4" w:space="0" w:color="auto"/>
              <w:left w:val="single" w:sz="4" w:space="0" w:color="auto"/>
              <w:bottom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515"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13D.01</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the county board or other public body</w:t>
            </w:r>
            <w:r w:rsidRPr="000E1CD7">
              <w:rPr>
                <w:sz w:val="20"/>
                <w:szCs w:val="20"/>
              </w:rPr>
              <w:t xml:space="preserve"> and to any committee, subcommittee, board, department, or commission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1D4537">
              <w:rPr>
                <w:sz w:val="20"/>
                <w:szCs w:val="20"/>
              </w:rPr>
              <w:t>county</w:t>
            </w:r>
            <w:r w:rsidRPr="000E1CD7">
              <w:rPr>
                <w:sz w:val="20"/>
                <w:szCs w:val="20"/>
              </w:rPr>
              <w:t xml:space="preserve"> board </w:t>
            </w:r>
            <w:r w:rsidR="001D4537">
              <w:rPr>
                <w:sz w:val="20"/>
                <w:szCs w:val="20"/>
              </w:rPr>
              <w:t xml:space="preserve">or other public body </w:t>
            </w:r>
            <w:r w:rsidRPr="000E1CD7">
              <w:rPr>
                <w:sz w:val="20"/>
                <w:szCs w:val="20"/>
              </w:rPr>
              <w:t xml:space="preserve">and of any committee, subcommittee, board, department, or commission of the </w:t>
            </w:r>
            <w:r w:rsidR="001D4537">
              <w:rPr>
                <w:sz w:val="20"/>
                <w:szCs w:val="20"/>
              </w:rPr>
              <w:t>county</w:t>
            </w:r>
            <w:r w:rsidRPr="000E1CD7">
              <w:rPr>
                <w:sz w:val="20"/>
                <w:szCs w:val="20"/>
              </w:rPr>
              <w:t xml:space="preserve"> board </w:t>
            </w:r>
            <w:r w:rsidR="001D4537">
              <w:rPr>
                <w:sz w:val="20"/>
                <w:szCs w:val="20"/>
              </w:rPr>
              <w:t xml:space="preserve">or other public body </w:t>
            </w:r>
            <w:r w:rsidRPr="000E1CD7">
              <w:rPr>
                <w:sz w:val="20"/>
                <w:szCs w:val="20"/>
              </w:rPr>
              <w:t>open to the public?</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1D4537">
              <w:rPr>
                <w:sz w:val="20"/>
                <w:szCs w:val="20"/>
              </w:rPr>
              <w:t>county</w:t>
            </w:r>
            <w:r w:rsidRPr="000E1CD7">
              <w:rPr>
                <w:sz w:val="20"/>
                <w:szCs w:val="20"/>
              </w:rPr>
              <w:t xml:space="preserve"> board state on the record the specific grounds permitting the meeting to be closed and describe the subject to be discussed?</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Pr="000E1CD7">
              <w:rPr>
                <w:sz w:val="20"/>
                <w:szCs w:val="20"/>
              </w:rPr>
              <w:t>, subd. 1</w:t>
            </w:r>
            <w:r>
              <w:rPr>
                <w:sz w:val="20"/>
                <w:szCs w:val="20"/>
              </w:rPr>
              <w:t>(</w:t>
            </w:r>
            <w:r w:rsidRPr="000E1CD7">
              <w:rPr>
                <w:sz w:val="20"/>
                <w:szCs w:val="20"/>
              </w:rPr>
              <w:t>d</w:t>
            </w:r>
            <w:r>
              <w:rPr>
                <w:sz w:val="20"/>
                <w:szCs w:val="20"/>
              </w:rPr>
              <w:t>)</w:t>
            </w:r>
            <w:r w:rsidRPr="000E1CD7">
              <w:rPr>
                <w:sz w:val="20"/>
                <w:szCs w:val="20"/>
              </w:rPr>
              <w:t>, 13D.03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 or town.)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1D4537">
              <w:rPr>
                <w:sz w:val="20"/>
                <w:szCs w:val="20"/>
              </w:rPr>
              <w:t>county</w:t>
            </w:r>
            <w:r w:rsidRPr="000E1CD7">
              <w:rPr>
                <w:sz w:val="20"/>
                <w:szCs w:val="20"/>
              </w:rPr>
              <w:t xml:space="preserve"> board adopted by a two-thirds majority of its members and expressing such terms in full?</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county board accept real or personal property from a person whose care, support, treatment, or maintenance, in whole or part, is or may be chargeable to or furnished or provided by the county?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593"/>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Pr="00673B5E">
              <w:rPr>
                <w:sz w:val="20"/>
                <w:szCs w:val="20"/>
              </w:rPr>
              <w: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1D4537" w:rsidRDefault="001D4537"/>
    <w:p w:rsidR="001D4537" w:rsidRDefault="001D4537"/>
    <w:p w:rsidR="001D4537" w:rsidRDefault="001D4537"/>
    <w:p w:rsidR="001D4537" w:rsidRDefault="001D4537"/>
    <w:p w:rsidR="001D4537" w:rsidRDefault="001D4537"/>
    <w:tbl>
      <w:tblPr>
        <w:tblW w:w="10812" w:type="dxa"/>
        <w:tblInd w:w="-5" w:type="dxa"/>
        <w:tblLayout w:type="fixed"/>
        <w:tblLook w:val="0000" w:firstRow="0" w:lastRow="0" w:firstColumn="0" w:lastColumn="0" w:noHBand="0" w:noVBand="0"/>
      </w:tblPr>
      <w:tblGrid>
        <w:gridCol w:w="1297"/>
        <w:gridCol w:w="491"/>
        <w:gridCol w:w="552"/>
        <w:gridCol w:w="6300"/>
        <w:gridCol w:w="610"/>
        <w:gridCol w:w="501"/>
        <w:gridCol w:w="1061"/>
      </w:tblGrid>
      <w:tr w:rsidR="00361220" w:rsidRPr="000E1CD7" w:rsidTr="001D4537">
        <w:trPr>
          <w:cantSplit/>
          <w:trHeight w:val="1088"/>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 subd. 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rsidR="00361220" w:rsidRPr="000E1CD7" w:rsidRDefault="00361220" w:rsidP="001D4537">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 subd. 2.]</w:t>
            </w: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773"/>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 subd. 9</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F.</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  </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or city employee not exceed 110 percent of the salary of the governor increased by the increase, if any, in the Consumer Price Index as described in Minn. Stat. § 43A.17, subd. 9</w:t>
            </w:r>
            <w:r w:rsidR="000D1B06">
              <w:rPr>
                <w:sz w:val="20"/>
                <w:szCs w:val="20"/>
              </w:rPr>
              <w:t xml:space="preserve"> (</w:t>
            </w:r>
            <w:r w:rsidRPr="002E0087">
              <w:rPr>
                <w:sz w:val="20"/>
                <w:szCs w:val="20"/>
              </w:rPr>
              <w:t>b</w:t>
            </w:r>
            <w:r w:rsidR="000D1B06">
              <w:rPr>
                <w:sz w:val="20"/>
                <w:szCs w:val="20"/>
              </w:rPr>
              <w:t>)</w:t>
            </w:r>
            <w:r w:rsidRPr="002E0087">
              <w:rPr>
                <w:sz w:val="20"/>
                <w:szCs w:val="20"/>
              </w:rPr>
              <w:t xml:space="preserve">? [This amount was </w:t>
            </w:r>
            <w:r>
              <w:rPr>
                <w:sz w:val="20"/>
                <w:szCs w:val="20"/>
              </w:rPr>
              <w:t>$160,639 for 2013, $162,245 for 2014</w:t>
            </w:r>
            <w:r w:rsidR="000D1B06">
              <w:rPr>
                <w:sz w:val="20"/>
                <w:szCs w:val="20"/>
              </w:rPr>
              <w:t>, and $165,003 for 2015</w:t>
            </w:r>
            <w:r w:rsidRPr="002E0087">
              <w:rPr>
                <w:sz w:val="20"/>
                <w:szCs w:val="20"/>
              </w:rPr>
              <w:t xml:space="preserve">.]; </w:t>
            </w:r>
            <w:r w:rsidRPr="002E0087">
              <w:rPr>
                <w:sz w:val="20"/>
                <w:szCs w:val="20"/>
                <w:u w:val="single"/>
              </w:rPr>
              <w:t>or</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 and</w:t>
            </w:r>
            <w:r w:rsidRPr="000E1CD7">
              <w:rPr>
                <w:sz w:val="20"/>
                <w:szCs w:val="20"/>
              </w:rPr>
              <w:t xml:space="preserve"> 138.17</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vMerge w:val="restart"/>
            <w:tcBorders>
              <w:top w:val="single" w:sz="4" w:space="0" w:color="auto"/>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 Gen. 442a-17, Jan. 17, 1938; 59a-22, Nov. 23, 1966; 270</w:t>
            </w:r>
            <w:r w:rsidRPr="000E1CD7">
              <w:rPr>
                <w:sz w:val="20"/>
                <w:szCs w:val="20"/>
              </w:rPr>
              <w:noBreakHyphen/>
              <w:t>D, Aug. 12, 1977; 174E, March 24, 1970</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vMerge/>
            <w:tcBorders>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vMerge/>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top w:val="single" w:sz="4" w:space="0" w:color="auto"/>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471.661</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297" w:type="dxa"/>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1D4537" w:rsidRDefault="001D4537"/>
    <w:p w:rsidR="001D4537" w:rsidRDefault="001D4537">
      <w:r>
        <w:br w:type="page"/>
      </w:r>
    </w:p>
    <w:p w:rsidR="001D4537" w:rsidRDefault="001D4537"/>
    <w:tbl>
      <w:tblPr>
        <w:tblW w:w="10685" w:type="dxa"/>
        <w:tblInd w:w="175" w:type="dxa"/>
        <w:tblLayout w:type="fixed"/>
        <w:tblLook w:val="0000" w:firstRow="0" w:lastRow="0" w:firstColumn="0" w:lastColumn="0" w:noHBand="0" w:noVBand="0"/>
      </w:tblPr>
      <w:tblGrid>
        <w:gridCol w:w="1170"/>
        <w:gridCol w:w="491"/>
        <w:gridCol w:w="552"/>
        <w:gridCol w:w="399"/>
        <w:gridCol w:w="5901"/>
        <w:gridCol w:w="610"/>
        <w:gridCol w:w="501"/>
        <w:gridCol w:w="1061"/>
      </w:tblGrid>
      <w:tr w:rsidR="00361220" w:rsidRPr="000E1CD7" w:rsidTr="001D4537">
        <w:trPr>
          <w:cantSplit/>
          <w:trHeight w:val="174"/>
        </w:trPr>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1D4537">
        <w:trPr>
          <w:cantSplit/>
          <w:trHeight w:val="174"/>
        </w:trPr>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1D4537" w:rsidRDefault="001D4537"/>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033D9" w:rsidRPr="008033D9" w:rsidTr="001D4537">
        <w:trPr>
          <w:cantSplit/>
        </w:trPr>
        <w:tc>
          <w:tcPr>
            <w:tcW w:w="10800"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IV.  Audit Conclusion</w:t>
            </w:r>
          </w:p>
          <w:p w:rsidR="008033D9" w:rsidRPr="008033D9" w:rsidRDefault="008033D9" w:rsidP="00C650CD">
            <w:pPr>
              <w:pStyle w:val="Header"/>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r w:rsidR="008033D9" w:rsidRPr="008033D9" w:rsidTr="001D4537">
        <w:trPr>
          <w:cantSplit/>
        </w:trPr>
        <w:tc>
          <w:tcPr>
            <w:tcW w:w="10800"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7"/>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63" w:rsidRDefault="002F6263" w:rsidP="000C534C">
      <w:pPr>
        <w:pStyle w:val="Header"/>
      </w:pPr>
      <w:r>
        <w:separator/>
      </w:r>
    </w:p>
  </w:endnote>
  <w:endnote w:type="continuationSeparator" w:id="0">
    <w:p w:rsidR="002F6263" w:rsidRDefault="002F626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72" w:rsidRPr="0001468C" w:rsidRDefault="00DF5958" w:rsidP="0001468C">
    <w:pPr>
      <w:pStyle w:val="Footer"/>
      <w:tabs>
        <w:tab w:val="clear" w:pos="4320"/>
        <w:tab w:val="center" w:pos="5040"/>
      </w:tabs>
      <w:rPr>
        <w:rFonts w:ascii="Times New Roman" w:hAnsi="Times New Roman"/>
      </w:rPr>
    </w:pPr>
    <w:r>
      <w:rPr>
        <w:rFonts w:ascii="Times New Roman" w:hAnsi="Times New Roman"/>
      </w:rPr>
      <w:t>1</w:t>
    </w:r>
    <w:r w:rsidR="008D15B3">
      <w:rPr>
        <w:rFonts w:ascii="Times New Roman" w:hAnsi="Times New Roman"/>
      </w:rPr>
      <w:t>2</w:t>
    </w:r>
    <w:r w:rsidR="00073A44">
      <w:rPr>
        <w:rFonts w:ascii="Times New Roman" w:hAnsi="Times New Roman"/>
      </w:rPr>
      <w:t>/201</w:t>
    </w:r>
    <w:r w:rsidR="00DE08FA">
      <w:rPr>
        <w:rFonts w:ascii="Times New Roman" w:hAnsi="Times New Roman"/>
      </w:rPr>
      <w:t>5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BC3796">
      <w:rPr>
        <w:rStyle w:val="PageNumber"/>
        <w:rFonts w:ascii="Times New Roman" w:hAnsi="Times New Roman"/>
        <w:noProof/>
      </w:rPr>
      <w:t>5</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63" w:rsidRDefault="002F6263" w:rsidP="000C534C">
      <w:pPr>
        <w:pStyle w:val="Header"/>
      </w:pPr>
      <w:r>
        <w:separator/>
      </w:r>
    </w:p>
  </w:footnote>
  <w:footnote w:type="continuationSeparator" w:id="0">
    <w:p w:rsidR="002F6263" w:rsidRDefault="002F6263" w:rsidP="000C534C">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E63DBF">
      <w:trPr>
        <w:tblHeader/>
      </w:trPr>
      <w:tc>
        <w:tcPr>
          <w:tcW w:w="1243" w:type="dxa"/>
        </w:tcPr>
        <w:p w:rsidR="00281487" w:rsidRPr="003515B1" w:rsidRDefault="00281487" w:rsidP="00E63DBF">
          <w:pPr>
            <w:pStyle w:val="Header"/>
            <w:jc w:val="center"/>
            <w:rPr>
              <w:rFonts w:ascii="Times New Roman" w:hAnsi="Times New Roman"/>
            </w:rPr>
          </w:pPr>
          <w:smartTag w:uri="urn:schemas-microsoft-com:office:smarttags" w:element="place">
            <w:smartTag w:uri="urn:schemas-microsoft-com:office:smarttags" w:element="State">
              <w:r w:rsidRPr="003515B1">
                <w:rPr>
                  <w:rFonts w:ascii="Times New Roman" w:hAnsi="Times New Roman"/>
                </w:rPr>
                <w:t>Minn.</w:t>
              </w:r>
            </w:smartTag>
          </w:smartTag>
          <w:r w:rsidRPr="003515B1">
            <w:rPr>
              <w:rFonts w:ascii="Times New Roman" w:hAnsi="Times New Roman"/>
            </w:rPr>
            <w:t xml:space="preserve">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73A44"/>
    <w:rsid w:val="000C534C"/>
    <w:rsid w:val="000D1B06"/>
    <w:rsid w:val="000D221B"/>
    <w:rsid w:val="000E1CD7"/>
    <w:rsid w:val="000F3888"/>
    <w:rsid w:val="000F7B68"/>
    <w:rsid w:val="00102546"/>
    <w:rsid w:val="00161580"/>
    <w:rsid w:val="001A1318"/>
    <w:rsid w:val="001A1365"/>
    <w:rsid w:val="001D4537"/>
    <w:rsid w:val="00207DEB"/>
    <w:rsid w:val="00281487"/>
    <w:rsid w:val="002E0087"/>
    <w:rsid w:val="002E030B"/>
    <w:rsid w:val="002F6263"/>
    <w:rsid w:val="003048B9"/>
    <w:rsid w:val="00307E95"/>
    <w:rsid w:val="003515B1"/>
    <w:rsid w:val="00361220"/>
    <w:rsid w:val="00396677"/>
    <w:rsid w:val="003A0E13"/>
    <w:rsid w:val="004007E6"/>
    <w:rsid w:val="00414712"/>
    <w:rsid w:val="004A3903"/>
    <w:rsid w:val="004F22D0"/>
    <w:rsid w:val="00551F56"/>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908CD"/>
    <w:rsid w:val="006D6FB7"/>
    <w:rsid w:val="0071716F"/>
    <w:rsid w:val="00757013"/>
    <w:rsid w:val="00787559"/>
    <w:rsid w:val="00794737"/>
    <w:rsid w:val="007B6FDA"/>
    <w:rsid w:val="007B72CF"/>
    <w:rsid w:val="007E2021"/>
    <w:rsid w:val="007F289B"/>
    <w:rsid w:val="008033D9"/>
    <w:rsid w:val="008D15B3"/>
    <w:rsid w:val="008D456D"/>
    <w:rsid w:val="008E63F4"/>
    <w:rsid w:val="008F1BDB"/>
    <w:rsid w:val="00925B77"/>
    <w:rsid w:val="00933117"/>
    <w:rsid w:val="00951D84"/>
    <w:rsid w:val="00963EAF"/>
    <w:rsid w:val="00987381"/>
    <w:rsid w:val="00993ED9"/>
    <w:rsid w:val="009A2436"/>
    <w:rsid w:val="00A1388D"/>
    <w:rsid w:val="00A5240D"/>
    <w:rsid w:val="00AB568A"/>
    <w:rsid w:val="00AE1ADA"/>
    <w:rsid w:val="00B27531"/>
    <w:rsid w:val="00B46098"/>
    <w:rsid w:val="00B82FF6"/>
    <w:rsid w:val="00BA0472"/>
    <w:rsid w:val="00BC3796"/>
    <w:rsid w:val="00BF16C3"/>
    <w:rsid w:val="00C03847"/>
    <w:rsid w:val="00C52AF2"/>
    <w:rsid w:val="00C650CD"/>
    <w:rsid w:val="00CC43EA"/>
    <w:rsid w:val="00CC690B"/>
    <w:rsid w:val="00CD2AC8"/>
    <w:rsid w:val="00D3292B"/>
    <w:rsid w:val="00D514B3"/>
    <w:rsid w:val="00D63057"/>
    <w:rsid w:val="00DA6743"/>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C667A"/>
    <w:rsid w:val="00FC7A03"/>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2359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Jim Levi</cp:lastModifiedBy>
  <cp:revision>2</cp:revision>
  <cp:lastPrinted>2011-12-23T20:17:00Z</cp:lastPrinted>
  <dcterms:created xsi:type="dcterms:W3CDTF">2016-01-25T22:30:00Z</dcterms:created>
  <dcterms:modified xsi:type="dcterms:W3CDTF">2016-01-25T22:30:00Z</dcterms:modified>
</cp:coreProperties>
</file>